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883D49">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77121202"/>
            <w:bookmarkStart w:id="1" w:name="_Hlk145068772"/>
            <w:bookmarkEnd w:id="0"/>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883D49">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883D49">
        <w:trPr>
          <w:trHeight w:val="68"/>
          <w:jc w:val="center"/>
        </w:trPr>
        <w:tc>
          <w:tcPr>
            <w:tcW w:w="8782" w:type="dxa"/>
            <w:gridSpan w:val="2"/>
          </w:tcPr>
          <w:p w14:paraId="30F07041" w14:textId="72DB3CCA" w:rsidR="00F27EE4" w:rsidRPr="00F27EE4" w:rsidRDefault="00AA7D26" w:rsidP="00F27EE4">
            <w:pPr>
              <w:ind w:left="-107"/>
              <w:rPr>
                <w:rFonts w:ascii="Tahoma" w:hAnsi="Tahoma" w:cs="Tahoma"/>
                <w:b/>
                <w:bCs/>
                <w:color w:val="000000"/>
                <w:sz w:val="14"/>
                <w:szCs w:val="14"/>
                <w:shd w:val="clear" w:color="auto" w:fill="FFFFFF"/>
                <w:lang w:val="it-IT"/>
              </w:rPr>
            </w:pPr>
            <w:r w:rsidRPr="00F27EE4">
              <w:rPr>
                <w:rFonts w:ascii="Tahoma" w:hAnsi="Tahoma" w:cs="Tahoma"/>
                <w:iCs/>
                <w:color w:val="333333"/>
                <w:sz w:val="14"/>
                <w:szCs w:val="14"/>
                <w:lang w:val="it-IT" w:eastAsia="it-IT"/>
              </w:rPr>
              <w:t>Guest Editors:</w:t>
            </w:r>
            <w:r w:rsidR="007D610D" w:rsidRPr="00F27EE4">
              <w:rPr>
                <w:rFonts w:ascii="Aptos" w:eastAsiaTheme="minorHAnsi" w:hAnsi="Aptos" w:cs="Aptos"/>
                <w:sz w:val="22"/>
                <w:szCs w:val="22"/>
                <w:lang w:val="it-IT"/>
                <w14:ligatures w14:val="standardContextual"/>
              </w:rPr>
              <w:t xml:space="preserve"> </w:t>
            </w:r>
            <w:r w:rsidR="00F27EE4" w:rsidRPr="00F27EE4">
              <w:rPr>
                <w:rFonts w:ascii="Tahoma" w:hAnsi="Tahoma" w:cs="Tahoma"/>
                <w:color w:val="000000"/>
                <w:sz w:val="14"/>
                <w:szCs w:val="14"/>
                <w:shd w:val="clear" w:color="auto" w:fill="FFFFFF"/>
                <w:lang w:val="it-IT"/>
              </w:rPr>
              <w:t>Bruno Fabiano, Va</w:t>
            </w:r>
            <w:r w:rsidR="00F27EE4">
              <w:rPr>
                <w:rFonts w:ascii="Tahoma" w:hAnsi="Tahoma" w:cs="Tahoma"/>
                <w:color w:val="000000"/>
                <w:sz w:val="14"/>
                <w:szCs w:val="14"/>
                <w:shd w:val="clear" w:color="auto" w:fill="FFFFFF"/>
                <w:lang w:val="it-IT"/>
              </w:rPr>
              <w:t>lerio Cozzani</w:t>
            </w:r>
          </w:p>
          <w:p w14:paraId="1B0F1814" w14:textId="2DB8A072"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w:t>
            </w:r>
            <w:r w:rsidR="00F27EE4">
              <w:rPr>
                <w:rFonts w:ascii="Tahoma" w:hAnsi="Tahoma" w:cs="Tahoma"/>
                <w:sz w:val="14"/>
                <w:szCs w:val="14"/>
              </w:rPr>
              <w:t>xx-y</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1"/>
    <w:p w14:paraId="2E667253" w14:textId="4FC078DA" w:rsidR="00E978D0" w:rsidRPr="00B57B36" w:rsidRDefault="00883D49" w:rsidP="00E978D0">
      <w:pPr>
        <w:pStyle w:val="CETTitle"/>
      </w:pPr>
      <w:r w:rsidRPr="00883D49">
        <w:t xml:space="preserve">Assessing the Major Industrial Accident Potential </w:t>
      </w:r>
      <w:r w:rsidR="000A7C29">
        <w:t>B</w:t>
      </w:r>
      <w:r w:rsidRPr="00883D49">
        <w:t xml:space="preserve">ased on Dangerous Substance Criteria: A </w:t>
      </w:r>
      <w:r>
        <w:t>F</w:t>
      </w:r>
      <w:r w:rsidRPr="00883D49">
        <w:t xml:space="preserve">ramework for Seveso and non-Seveso </w:t>
      </w:r>
      <w:r>
        <w:t>F</w:t>
      </w:r>
      <w:r w:rsidRPr="00883D49">
        <w:t>acilities.</w:t>
      </w:r>
    </w:p>
    <w:p w14:paraId="0488FED2" w14:textId="398B549A" w:rsidR="00B57E6F" w:rsidRPr="004822E9" w:rsidRDefault="002C21C8" w:rsidP="00B57E6F">
      <w:pPr>
        <w:pStyle w:val="CETAuthors"/>
      </w:pPr>
      <w:r w:rsidRPr="004822E9">
        <w:t>David J. Castro Rodriguez</w:t>
      </w:r>
      <w:r w:rsidR="00B57E6F" w:rsidRPr="004822E9">
        <w:rPr>
          <w:vertAlign w:val="superscript"/>
        </w:rPr>
        <w:t>a,</w:t>
      </w:r>
      <w:r w:rsidR="00B57E6F" w:rsidRPr="004822E9">
        <w:t xml:space="preserve">*, </w:t>
      </w:r>
      <w:r w:rsidR="00623258" w:rsidRPr="004822E9">
        <w:t>Huxiao Shi</w:t>
      </w:r>
      <w:r w:rsidRPr="004822E9">
        <w:rPr>
          <w:vertAlign w:val="superscript"/>
        </w:rPr>
        <w:t>a</w:t>
      </w:r>
      <w:r w:rsidRPr="004822E9">
        <w:t>,</w:t>
      </w:r>
      <w:r w:rsidR="00623258" w:rsidRPr="004822E9">
        <w:t xml:space="preserve"> </w:t>
      </w:r>
      <w:r w:rsidR="00BF0103" w:rsidRPr="004822E9">
        <w:t>Morena Vitale</w:t>
      </w:r>
      <w:r w:rsidR="00F72D3F" w:rsidRPr="004822E9">
        <w:rPr>
          <w:vertAlign w:val="superscript"/>
        </w:rPr>
        <w:t>a</w:t>
      </w:r>
      <w:r w:rsidR="00BF0103" w:rsidRPr="004822E9">
        <w:t xml:space="preserve">, </w:t>
      </w:r>
      <w:r w:rsidR="00D2586A" w:rsidRPr="004822E9">
        <w:t>Micaela Demichela</w:t>
      </w:r>
      <w:r w:rsidR="00F72D3F" w:rsidRPr="004822E9">
        <w:rPr>
          <w:vertAlign w:val="superscript"/>
        </w:rPr>
        <w:t>a,</w:t>
      </w:r>
      <w:r w:rsidR="00F72D3F" w:rsidRPr="004822E9">
        <w:t>, Antonello A. Barresi</w:t>
      </w:r>
      <w:r w:rsidR="00F72D3F" w:rsidRPr="004822E9">
        <w:rPr>
          <w:vertAlign w:val="superscript"/>
        </w:rPr>
        <w:t>a</w:t>
      </w:r>
      <w:r w:rsidR="00F72D3F" w:rsidRPr="004822E9">
        <w:t>.</w:t>
      </w:r>
    </w:p>
    <w:p w14:paraId="73827290" w14:textId="77777777" w:rsidR="009E76F8" w:rsidRDefault="00B57E6F" w:rsidP="00B57E6F">
      <w:pPr>
        <w:pStyle w:val="CETAddress"/>
      </w:pPr>
      <w:r w:rsidRPr="00B57B36">
        <w:rPr>
          <w:vertAlign w:val="superscript"/>
        </w:rPr>
        <w:t>a</w:t>
      </w:r>
      <w:r w:rsidR="009E76F8" w:rsidRPr="009E76F8">
        <w:t xml:space="preserve"> Department of Applied Science and Technology (DISAT)/ Politecnico di Torino, Italy.</w:t>
      </w:r>
    </w:p>
    <w:p w14:paraId="73F1267A" w14:textId="2574B30E" w:rsidR="00B57E6F" w:rsidRPr="00B57B36" w:rsidRDefault="00404630" w:rsidP="00B57E6F">
      <w:pPr>
        <w:pStyle w:val="CETemail"/>
      </w:pPr>
      <w:hyperlink r:id="rId10" w:history="1">
        <w:r w:rsidRPr="00404630">
          <w:rPr>
            <w:rStyle w:val="Collegamentoipertestuale"/>
          </w:rPr>
          <w:t>david.castro@polito.it</w:t>
        </w:r>
      </w:hyperlink>
      <w:r w:rsidR="0011671A">
        <w:t xml:space="preserve"> </w:t>
      </w:r>
      <w:r w:rsidR="00B57E6F" w:rsidRPr="00B57B36">
        <w:t xml:space="preserve"> </w:t>
      </w:r>
    </w:p>
    <w:p w14:paraId="462367BE" w14:textId="4BFCBE30" w:rsidR="00F805CA" w:rsidRPr="00F805CA" w:rsidRDefault="00F805CA" w:rsidP="002E1140">
      <w:pPr>
        <w:pStyle w:val="CETBodytext"/>
        <w:spacing w:after="120"/>
        <w:rPr>
          <w:lang w:val="en-GB"/>
        </w:rPr>
      </w:pPr>
      <w:r w:rsidRPr="00F805CA">
        <w:rPr>
          <w:lang w:val="en-GB"/>
        </w:rPr>
        <w:t>In Europe, a major accident is defined as an uncontrolled event like a major emission, fire, or explosion involving dangerous substances, posing immediate or delayed risks to human health and the environment, as stipulated in the Seveso III Directive (2012/18/EU). According to Seveso III, establishments are classified as lower-tier (LTE) and upper-tier (UTE) based on their maximum storage capacity of dangerous substances. Regarding the substance criteria, the European Commission requires notifications of eventual major accidents when at least 5% of the UTE is involved. However, plants outside Seveso III can also meet the previous criteria causing major accidents, even if they are not covered by the safety minimal requirements within the European Directive. This study addresses this limitation by proposing a framework for assessing the potential for major industrial accidents based on dangerous substance criteria, regardless of whether the plant is classified as a Seveso establishment or not. Substance classification and quantification were kept under Annex I of the Seveso III Directive, considering the potential consequences for human health, the environment, and physic-built infrastructure</w:t>
      </w:r>
      <w:r w:rsidRPr="00AD02EA">
        <w:rPr>
          <w:lang w:val="en-GB"/>
        </w:rPr>
        <w:t xml:space="preserve">. </w:t>
      </w:r>
      <w:r w:rsidR="00691277">
        <w:rPr>
          <w:lang w:val="en-GB"/>
        </w:rPr>
        <w:t>T</w:t>
      </w:r>
      <w:r w:rsidRPr="00AD02EA">
        <w:rPr>
          <w:lang w:val="en-GB"/>
        </w:rPr>
        <w:t xml:space="preserve">he dangerousness potential </w:t>
      </w:r>
      <w:r w:rsidR="00691277">
        <w:rPr>
          <w:lang w:val="en-GB"/>
        </w:rPr>
        <w:t xml:space="preserve">of the hazardous substances </w:t>
      </w:r>
      <w:r w:rsidRPr="00AD02EA">
        <w:rPr>
          <w:lang w:val="en-GB"/>
        </w:rPr>
        <w:t>was defined based</w:t>
      </w:r>
      <w:r w:rsidRPr="00F805CA">
        <w:rPr>
          <w:lang w:val="en-GB"/>
        </w:rPr>
        <w:t xml:space="preserve"> on the consequences of potential scenarios such as toxic releases, energetic events, and large spills. </w:t>
      </w:r>
      <w:r w:rsidR="00032E3F">
        <w:rPr>
          <w:lang w:val="en-GB"/>
        </w:rPr>
        <w:t xml:space="preserve">Subsequently, </w:t>
      </w:r>
      <w:r w:rsidR="0032100F">
        <w:rPr>
          <w:lang w:val="en-GB"/>
        </w:rPr>
        <w:t>t</w:t>
      </w:r>
      <w:r w:rsidR="0032100F" w:rsidRPr="00F805CA">
        <w:rPr>
          <w:lang w:val="en-GB"/>
        </w:rPr>
        <w:t>he</w:t>
      </w:r>
      <w:r w:rsidR="0032100F">
        <w:rPr>
          <w:lang w:val="en-GB"/>
        </w:rPr>
        <w:t xml:space="preserve"> </w:t>
      </w:r>
      <w:r w:rsidR="0032100F" w:rsidRPr="00F805CA">
        <w:rPr>
          <w:lang w:val="en-GB"/>
        </w:rPr>
        <w:t>total</w:t>
      </w:r>
      <w:r w:rsidRPr="00F805CA">
        <w:rPr>
          <w:lang w:val="en-GB"/>
        </w:rPr>
        <w:t xml:space="preserve"> index of compliance </w:t>
      </w:r>
      <w:r w:rsidR="00032E3F">
        <w:rPr>
          <w:lang w:val="en-GB"/>
        </w:rPr>
        <w:t>was</w:t>
      </w:r>
      <w:r w:rsidR="00FD46E6">
        <w:rPr>
          <w:lang w:val="en-GB"/>
        </w:rPr>
        <w:t xml:space="preserve"> determined for</w:t>
      </w:r>
      <w:r w:rsidR="00FD46E6" w:rsidRPr="00F805CA">
        <w:rPr>
          <w:lang w:val="en-GB"/>
        </w:rPr>
        <w:t xml:space="preserve"> </w:t>
      </w:r>
      <w:r w:rsidRPr="00F805CA">
        <w:rPr>
          <w:lang w:val="en-GB"/>
        </w:rPr>
        <w:t xml:space="preserve">each </w:t>
      </w:r>
      <w:r w:rsidR="00032E3F" w:rsidRPr="00AD02EA">
        <w:rPr>
          <w:lang w:val="en-GB"/>
        </w:rPr>
        <w:t xml:space="preserve">dangerousness </w:t>
      </w:r>
      <w:r w:rsidRPr="00F805CA">
        <w:rPr>
          <w:lang w:val="en-GB"/>
        </w:rPr>
        <w:t xml:space="preserve">category. This index calculates the ratio between stored hazardous substances and their corresponding upper threshold. A linear decisional scale based on the </w:t>
      </w:r>
      <w:r w:rsidR="00C73B76" w:rsidRPr="00F805CA">
        <w:rPr>
          <w:lang w:val="en-GB"/>
        </w:rPr>
        <w:t>compliance index</w:t>
      </w:r>
      <w:r w:rsidR="00C73B76">
        <w:rPr>
          <w:lang w:val="en-GB"/>
        </w:rPr>
        <w:t xml:space="preserve"> </w:t>
      </w:r>
      <w:r w:rsidR="007376BD">
        <w:rPr>
          <w:lang w:val="en-GB"/>
        </w:rPr>
        <w:t xml:space="preserve">was </w:t>
      </w:r>
      <w:r w:rsidRPr="00F805CA">
        <w:rPr>
          <w:lang w:val="en-GB"/>
        </w:rPr>
        <w:t xml:space="preserve">established, clustering plants into seven </w:t>
      </w:r>
      <w:r w:rsidR="00E81E4D" w:rsidRPr="00F805CA">
        <w:rPr>
          <w:lang w:val="en-GB"/>
        </w:rPr>
        <w:t>colour</w:t>
      </w:r>
      <w:r w:rsidRPr="00F805CA">
        <w:rPr>
          <w:lang w:val="en-GB"/>
        </w:rPr>
        <w:t xml:space="preserve"> zones according to the</w:t>
      </w:r>
      <w:r w:rsidR="000A36D2">
        <w:rPr>
          <w:lang w:val="en-GB"/>
        </w:rPr>
        <w:t>ir</w:t>
      </w:r>
      <w:r w:rsidRPr="00F805CA">
        <w:rPr>
          <w:lang w:val="en-GB"/>
        </w:rPr>
        <w:t xml:space="preserve"> </w:t>
      </w:r>
      <w:r w:rsidR="00C73B76" w:rsidRPr="00F805CA">
        <w:rPr>
          <w:lang w:val="en-GB"/>
        </w:rPr>
        <w:t>major accident potential</w:t>
      </w:r>
      <w:r w:rsidR="00C73B76">
        <w:rPr>
          <w:lang w:val="en-GB"/>
        </w:rPr>
        <w:t>ity</w:t>
      </w:r>
      <w:r w:rsidR="00C73B76" w:rsidRPr="00F805CA">
        <w:rPr>
          <w:lang w:val="en-GB"/>
        </w:rPr>
        <w:t xml:space="preserve"> </w:t>
      </w:r>
      <w:r w:rsidR="007376BD">
        <w:rPr>
          <w:lang w:val="en-GB"/>
        </w:rPr>
        <w:t xml:space="preserve">and establishing a </w:t>
      </w:r>
      <w:r w:rsidR="00E17CF7">
        <w:rPr>
          <w:lang w:val="en-GB"/>
        </w:rPr>
        <w:t xml:space="preserve">cutoff </w:t>
      </w:r>
      <w:r w:rsidR="00E17CF7" w:rsidRPr="00F805CA">
        <w:rPr>
          <w:lang w:val="en-GB"/>
        </w:rPr>
        <w:t xml:space="preserve">point </w:t>
      </w:r>
      <w:r w:rsidR="00E17CF7">
        <w:rPr>
          <w:lang w:val="en-GB"/>
        </w:rPr>
        <w:t>according the 5 %</w:t>
      </w:r>
      <w:r w:rsidR="00C73B76">
        <w:rPr>
          <w:lang w:val="en-GB"/>
        </w:rPr>
        <w:t xml:space="preserve"> UTE criteria</w:t>
      </w:r>
      <w:r w:rsidRPr="00F805CA">
        <w:rPr>
          <w:lang w:val="en-GB"/>
        </w:rPr>
        <w:t xml:space="preserve">. </w:t>
      </w:r>
      <w:r w:rsidRPr="00B55516">
        <w:rPr>
          <w:lang w:val="en-GB"/>
        </w:rPr>
        <w:t>Anonymized case stud</w:t>
      </w:r>
      <w:r w:rsidR="000A7C29" w:rsidRPr="00B55516">
        <w:rPr>
          <w:lang w:val="en-GB"/>
        </w:rPr>
        <w:t>y</w:t>
      </w:r>
      <w:r w:rsidRPr="00B55516">
        <w:rPr>
          <w:lang w:val="en-GB"/>
        </w:rPr>
        <w:t xml:space="preserve"> data exemplifies this method.</w:t>
      </w:r>
      <w:r w:rsidRPr="00F805CA">
        <w:rPr>
          <w:lang w:val="en-GB"/>
        </w:rPr>
        <w:t xml:space="preserve"> This framework improves the assessment of the inherent </w:t>
      </w:r>
      <w:r w:rsidR="004104B7">
        <w:rPr>
          <w:lang w:val="en-GB"/>
        </w:rPr>
        <w:t>hazard</w:t>
      </w:r>
      <w:r w:rsidRPr="00F805CA">
        <w:rPr>
          <w:lang w:val="en-GB"/>
        </w:rPr>
        <w:t xml:space="preserve"> associated with the stored amounts of dangerous substances, providing a more nuanced method for </w:t>
      </w:r>
      <w:r w:rsidR="00932E8C">
        <w:rPr>
          <w:lang w:val="en-GB"/>
        </w:rPr>
        <w:t xml:space="preserve">increase the awareness </w:t>
      </w:r>
      <w:r w:rsidR="00B55516">
        <w:rPr>
          <w:lang w:val="en-GB"/>
        </w:rPr>
        <w:t>to</w:t>
      </w:r>
      <w:r w:rsidR="00932E8C" w:rsidRPr="00F805CA">
        <w:rPr>
          <w:lang w:val="en-GB"/>
        </w:rPr>
        <w:t xml:space="preserve"> </w:t>
      </w:r>
      <w:r w:rsidRPr="00F805CA">
        <w:rPr>
          <w:lang w:val="en-GB"/>
        </w:rPr>
        <w:t xml:space="preserve">major accidents </w:t>
      </w:r>
      <w:r w:rsidR="00B55516">
        <w:rPr>
          <w:lang w:val="en-GB"/>
        </w:rPr>
        <w:t xml:space="preserve">hazard </w:t>
      </w:r>
      <w:r w:rsidRPr="00F805CA">
        <w:rPr>
          <w:lang w:val="en-GB"/>
        </w:rPr>
        <w:t>and introducing safety measures in both Seveso and non-Seveso facilities.</w:t>
      </w:r>
    </w:p>
    <w:p w14:paraId="6893AF25" w14:textId="2C8F0846" w:rsidR="00600535" w:rsidRPr="00B57B36" w:rsidRDefault="00F805CA" w:rsidP="00F805CA">
      <w:pPr>
        <w:pStyle w:val="CETBodytext"/>
        <w:rPr>
          <w:lang w:val="en-GB"/>
        </w:rPr>
      </w:pPr>
      <w:r w:rsidRPr="00F805CA">
        <w:rPr>
          <w:b/>
          <w:bCs/>
          <w:lang w:val="en-GB"/>
        </w:rPr>
        <w:t>Keywords:</w:t>
      </w:r>
      <w:r w:rsidRPr="00F805CA">
        <w:rPr>
          <w:lang w:val="en-GB"/>
        </w:rPr>
        <w:t xml:space="preserve"> dangerous substances, major accidents, non-Seveso facilities, Seveso establishments.</w:t>
      </w:r>
    </w:p>
    <w:p w14:paraId="476B2F2E" w14:textId="52B36035" w:rsidR="00600535" w:rsidRPr="00B57B36" w:rsidRDefault="00600535" w:rsidP="00600535">
      <w:pPr>
        <w:pStyle w:val="CETHeading1"/>
        <w:rPr>
          <w:lang w:val="en-GB"/>
        </w:rPr>
      </w:pPr>
      <w:r w:rsidRPr="00B57B36">
        <w:rPr>
          <w:lang w:val="en-GB"/>
        </w:rPr>
        <w:t>Introduction</w:t>
      </w:r>
    </w:p>
    <w:p w14:paraId="2DCA5A74" w14:textId="6E11D968" w:rsidR="008A3049" w:rsidRDefault="00FB6F31" w:rsidP="00600535">
      <w:pPr>
        <w:pStyle w:val="CETBodytext"/>
        <w:rPr>
          <w:lang w:val="en-GB"/>
        </w:rPr>
      </w:pPr>
      <w:r w:rsidRPr="00FB6F31">
        <w:rPr>
          <w:lang w:val="en-GB"/>
        </w:rPr>
        <w:t>At a</w:t>
      </w:r>
      <w:r w:rsidR="00603965">
        <w:rPr>
          <w:lang w:val="en-GB"/>
        </w:rPr>
        <w:t>n</w:t>
      </w:r>
      <w:r w:rsidRPr="00FB6F31">
        <w:rPr>
          <w:lang w:val="en-GB"/>
        </w:rPr>
        <w:t xml:space="preserve"> European level, a major accident, as per the latest Seveso III Directive (201218/EU), refers to the “occurrence such as a major emission, fire, or explosion resulting from uncontrolled developments in the course of the operation of any establishment covered by this Directive and leading to serious danger to human health or the environment, immediate or delayed, inside or outside the establishment, and involving one or more dangerous substances"</w:t>
      </w:r>
      <w:r w:rsidR="004A6699">
        <w:rPr>
          <w:lang w:val="en-GB"/>
        </w:rPr>
        <w:t>.</w:t>
      </w:r>
      <w:r w:rsidRPr="00FB6F31">
        <w:rPr>
          <w:lang w:val="en-GB"/>
        </w:rPr>
        <w:t xml:space="preserve"> According to Seveso III, the establishments are classified as lower-tier establishments (LTE) or upper-tier establishments (UTE). This classification is based on their maximum capacity for storing dangerous substances, compared to the specified amounts outlined in columns 2 and 3 of Annex I of the European Directive (2012/18/EU). Moreover, Annex VI of Directive 2012/18/EU establishes criteria for the notification of a major accident to the European Commission, which considers several items grouped into five dimensions</w:t>
      </w:r>
      <w:r w:rsidR="0049171B">
        <w:rPr>
          <w:lang w:val="en-GB"/>
        </w:rPr>
        <w:t>.</w:t>
      </w:r>
      <w:r w:rsidRPr="00FB6F31">
        <w:rPr>
          <w:lang w:val="en-GB"/>
        </w:rPr>
        <w:t xml:space="preserve"> The criteria include: i) the involvement of a dangerous substance; ii) injuries to persons and damage to real estate; iii) immediate damage to the environment; iv) property damage; and v) cross-border damage. </w:t>
      </w:r>
      <w:r w:rsidR="00874CC9">
        <w:rPr>
          <w:lang w:val="en-GB"/>
        </w:rPr>
        <w:t xml:space="preserve">However, </w:t>
      </w:r>
      <w:r w:rsidRPr="00FB6F31">
        <w:rPr>
          <w:lang w:val="en-GB"/>
        </w:rPr>
        <w:t xml:space="preserve">facilities that are not covered under Seveso III (and therefore outside of certain minimal safety </w:t>
      </w:r>
      <w:r w:rsidRPr="00FB6F31">
        <w:rPr>
          <w:lang w:val="en-GB"/>
        </w:rPr>
        <w:lastRenderedPageBreak/>
        <w:t xml:space="preserve">constraints set on the Seveso framework) can generate </w:t>
      </w:r>
      <w:r w:rsidR="003B1B32">
        <w:rPr>
          <w:lang w:val="en-GB"/>
        </w:rPr>
        <w:t>major</w:t>
      </w:r>
      <w:r w:rsidRPr="00FB6F31">
        <w:rPr>
          <w:lang w:val="en-GB"/>
        </w:rPr>
        <w:t xml:space="preserve"> accidents satisfying the requirements in Annex VI of Directive (2012</w:t>
      </w:r>
      <w:r w:rsidR="004601DF">
        <w:rPr>
          <w:lang w:val="en-GB"/>
        </w:rPr>
        <w:t>/</w:t>
      </w:r>
      <w:r w:rsidRPr="00FB6F31">
        <w:rPr>
          <w:lang w:val="en-GB"/>
        </w:rPr>
        <w:t>18/EU).</w:t>
      </w:r>
      <w:r w:rsidR="008A3855">
        <w:rPr>
          <w:lang w:val="en-GB"/>
        </w:rPr>
        <w:t xml:space="preserve"> </w:t>
      </w:r>
      <w:r w:rsidR="00EB2CD1" w:rsidRPr="00EB2CD1">
        <w:rPr>
          <w:lang w:val="en-GB"/>
        </w:rPr>
        <w:t>For example, regarding the initial criterion (the presence of a hazardous substance), this could involve a complete loss of containment of the hazardous substance inventory</w:t>
      </w:r>
      <w:r w:rsidR="00150C09">
        <w:rPr>
          <w:lang w:val="en-GB"/>
        </w:rPr>
        <w:t xml:space="preserve"> in</w:t>
      </w:r>
      <w:r w:rsidR="0097587E">
        <w:rPr>
          <w:lang w:val="en-GB"/>
        </w:rPr>
        <w:t xml:space="preserve"> a </w:t>
      </w:r>
      <w:r w:rsidR="0097587E" w:rsidRPr="00EB2CD1">
        <w:rPr>
          <w:lang w:val="en-GB"/>
        </w:rPr>
        <w:t xml:space="preserve">hypothetical </w:t>
      </w:r>
      <w:r w:rsidR="0097587E">
        <w:rPr>
          <w:lang w:val="en-GB"/>
        </w:rPr>
        <w:t xml:space="preserve">facility </w:t>
      </w:r>
      <w:r w:rsidR="00EB2CD1" w:rsidRPr="00EB2CD1">
        <w:rPr>
          <w:lang w:val="en-GB"/>
        </w:rPr>
        <w:t xml:space="preserve">due to the failure of storage equipment in a technological scenario. </w:t>
      </w:r>
      <w:r w:rsidR="00BD7754">
        <w:rPr>
          <w:lang w:val="en-GB"/>
        </w:rPr>
        <w:t>If t</w:t>
      </w:r>
      <w:r w:rsidR="00EB2CD1" w:rsidRPr="00EB2CD1">
        <w:rPr>
          <w:lang w:val="en-GB"/>
        </w:rPr>
        <w:t xml:space="preserve">his facility </w:t>
      </w:r>
      <w:r w:rsidR="0097587E">
        <w:rPr>
          <w:lang w:val="en-GB"/>
        </w:rPr>
        <w:t>had a</w:t>
      </w:r>
      <w:r w:rsidR="00EB2CD1" w:rsidRPr="00EB2CD1">
        <w:rPr>
          <w:lang w:val="en-GB"/>
        </w:rPr>
        <w:t xml:space="preserve"> storage capacity between 5% and 10% of the </w:t>
      </w:r>
      <w:r w:rsidR="00905E6B">
        <w:rPr>
          <w:lang w:val="en-GB"/>
        </w:rPr>
        <w:t xml:space="preserve">upper </w:t>
      </w:r>
      <w:r w:rsidR="00EB2CD1" w:rsidRPr="00EB2CD1">
        <w:rPr>
          <w:lang w:val="en-GB"/>
        </w:rPr>
        <w:t>threshold specified in Directive 2012/18/</w:t>
      </w:r>
      <w:r w:rsidR="001B206F" w:rsidRPr="00EB2CD1">
        <w:rPr>
          <w:lang w:val="en-GB"/>
        </w:rPr>
        <w:t>EU</w:t>
      </w:r>
      <w:r w:rsidR="001B206F">
        <w:rPr>
          <w:lang w:val="en-GB"/>
        </w:rPr>
        <w:t>, while</w:t>
      </w:r>
      <w:r w:rsidR="00BD7754">
        <w:rPr>
          <w:lang w:val="en-GB"/>
        </w:rPr>
        <w:t xml:space="preserve"> </w:t>
      </w:r>
      <w:r w:rsidR="00EB2CD1">
        <w:rPr>
          <w:lang w:val="en-GB"/>
        </w:rPr>
        <w:t>t</w:t>
      </w:r>
      <w:r w:rsidR="00E422B9" w:rsidRPr="00E422B9">
        <w:rPr>
          <w:lang w:val="en-GB"/>
        </w:rPr>
        <w:t>he plant is neither</w:t>
      </w:r>
      <w:r w:rsidR="00EB2CD1">
        <w:rPr>
          <w:lang w:val="en-GB"/>
        </w:rPr>
        <w:t xml:space="preserve"> classified as</w:t>
      </w:r>
      <w:r w:rsidR="00E422B9" w:rsidRPr="00E422B9">
        <w:rPr>
          <w:lang w:val="en-GB"/>
        </w:rPr>
        <w:t xml:space="preserve"> UTE nor LTE, it has the potential to create a significant accident.</w:t>
      </w:r>
    </w:p>
    <w:p w14:paraId="150B133C" w14:textId="539A897A" w:rsidR="006E210B" w:rsidRDefault="00761763" w:rsidP="00600535">
      <w:pPr>
        <w:pStyle w:val="CETBodytext"/>
        <w:rPr>
          <w:lang w:val="en-GB"/>
        </w:rPr>
      </w:pPr>
      <w:r>
        <w:rPr>
          <w:lang w:val="en-GB"/>
        </w:rPr>
        <w:t>To</w:t>
      </w:r>
      <w:r w:rsidR="008A3049" w:rsidRPr="008A3049">
        <w:rPr>
          <w:lang w:val="en-GB"/>
        </w:rPr>
        <w:t xml:space="preserve"> prevent major accidents and improve risk management, it is </w:t>
      </w:r>
      <w:r w:rsidR="006B6A57">
        <w:rPr>
          <w:lang w:val="en-GB"/>
        </w:rPr>
        <w:t>crucial</w:t>
      </w:r>
      <w:r w:rsidR="008A3049" w:rsidRPr="008A3049">
        <w:rPr>
          <w:lang w:val="en-GB"/>
        </w:rPr>
        <w:t xml:space="preserve"> to </w:t>
      </w:r>
      <w:r w:rsidR="006B6A57">
        <w:rPr>
          <w:lang w:val="en-GB"/>
        </w:rPr>
        <w:t>develop</w:t>
      </w:r>
      <w:r w:rsidR="008A3049" w:rsidRPr="008A3049">
        <w:rPr>
          <w:lang w:val="en-GB"/>
        </w:rPr>
        <w:t xml:space="preserve"> leading indicators</w:t>
      </w:r>
      <w:r w:rsidR="004B2E16">
        <w:rPr>
          <w:lang w:val="en-GB"/>
        </w:rPr>
        <w:t xml:space="preserve"> </w:t>
      </w:r>
      <w:r w:rsidR="004B2E16">
        <w:rPr>
          <w:lang w:val="en-GB"/>
        </w:rPr>
        <w:fldChar w:fldCharType="begin"/>
      </w:r>
      <w:r w:rsidR="004B2E16">
        <w:rPr>
          <w:lang w:val="en-GB"/>
        </w:rPr>
        <w:instrText xml:space="preserve"> ADDIN ZOTERO_ITEM CSL_CITATION {"citationID":"ZFdBhsUT","properties":{"formattedCitation":"(Jain et al., 2017)","plainCitation":"(Jain et al., 2017)","noteIndex":0},"citationItems":[{"id":1140,"uris":["http://zotero.org/users/11820899/items/PVFNT6JJ"],"itemData":{"id":1140,"type":"article-journal","abstract":"Since the Seveso disaster 40 years ago, risk management methods as well as challenges to the process industry have increased along with changes in the public's risk perception globally. The Seveso incident brought to attention some critical issues, such as lack of knowledge on runaway reaction scenarios, hazards of formation of dioxins, lack of regulatory requirements, poor communication and coordination, and little or no emergency response or evacuation plans. Regulations related to process safety and risk management have evolved with time as compared to earlier when there were no specific regulations for controls of such major hazards as became evident during the Seveso incident. Meanwhile, the third improved version of the EU Directive inspired by the incident has been implemented. Although in general over the years occupational safety has vastly improved, major losses have still occurred and in fact formed the motivation to issue the new versions of the Directive. This paper highlights two limitations of the Seveso III Directive – lack of implementation of leading indicators and limited application of hazard and risk identification (for example little or no consideration of the hazards of intermediate products). Some existing gaps like lack of learning from previous incidents, scale-up issues, limitations of experiments related to real scenarios (e.g., vapour cloud explosion), uncertainties involved in complex systems and their gradual degradation by their use are described. These gaps necessitate developing and using advanced methods and an holistic approach such as resilience and advanced mathematic-statistical methods to resolve these issues. This work presents a resilience-based analysis of the Seveso incident and lays the foundation for development of a Process Resilience Analysis Framework. Implementation of this framework would advance current risk assessment and management techniques through integration of technical and social factors. The paper concludes with some cardinal rules for a systems approach to risk management and the significance of risk governance.","container-title":"Journal of Loss Prevention in the Process Industries","DOI":"10.1016/j.jlp.2016.09.023","ISSN":"0950-4230","journalAbbreviation":"Journal of Loss Prevention in the Process Industries","language":"en","page":"5-17","source":"ScienceDirect","title":"Did we learn about risk control since Seveso? Yes, we surely did, but is it enough? An historical brief and problem analysis","title-short":"Did we learn about risk control since Seveso?","volume":"49, Part A","author":[{"family":"Jain","given":"Prerna"},{"family":"Pasman","given":"Hans J."},{"family":"Waldram","given":"Simon P."},{"family":"Rogers","given":"William J."},{"family":"Mannan","given":"M. Sam"}],"issued":{"date-parts":[["2017",9,1]]}}}],"schema":"https://github.com/citation-style-language/schema/raw/master/csl-citation.json"} </w:instrText>
      </w:r>
      <w:r w:rsidR="004B2E16">
        <w:rPr>
          <w:lang w:val="en-GB"/>
        </w:rPr>
        <w:fldChar w:fldCharType="separate"/>
      </w:r>
      <w:r w:rsidR="004B2E16" w:rsidRPr="004B2E16">
        <w:rPr>
          <w:rFonts w:cs="Arial"/>
        </w:rPr>
        <w:t>(Jain et al., 2017)</w:t>
      </w:r>
      <w:r w:rsidR="004B2E16">
        <w:rPr>
          <w:lang w:val="en-GB"/>
        </w:rPr>
        <w:fldChar w:fldCharType="end"/>
      </w:r>
      <w:r w:rsidR="008A3049" w:rsidRPr="008A3049">
        <w:rPr>
          <w:lang w:val="en-GB"/>
        </w:rPr>
        <w:t>, which include not only the analysis of Seveso facilities but also other facilities</w:t>
      </w:r>
      <w:r w:rsidR="0049171B">
        <w:rPr>
          <w:lang w:val="en-GB"/>
        </w:rPr>
        <w:t>,</w:t>
      </w:r>
      <w:r w:rsidR="008A3049" w:rsidRPr="008A3049">
        <w:rPr>
          <w:lang w:val="en-GB"/>
        </w:rPr>
        <w:t xml:space="preserve"> </w:t>
      </w:r>
      <w:r w:rsidR="00F66C13">
        <w:rPr>
          <w:lang w:val="en-GB"/>
        </w:rPr>
        <w:t>offering valuable</w:t>
      </w:r>
      <w:r w:rsidR="008A3049" w:rsidRPr="008A3049">
        <w:rPr>
          <w:lang w:val="en-GB"/>
        </w:rPr>
        <w:t xml:space="preserve"> information on finding signals </w:t>
      </w:r>
      <w:r w:rsidR="0096354D">
        <w:rPr>
          <w:lang w:val="en-GB"/>
        </w:rPr>
        <w:t xml:space="preserve">to </w:t>
      </w:r>
      <w:r w:rsidR="00F66C13">
        <w:rPr>
          <w:lang w:val="en-GB"/>
        </w:rPr>
        <w:t xml:space="preserve">anticipate potential </w:t>
      </w:r>
      <w:r w:rsidR="008A3049" w:rsidRPr="008A3049">
        <w:rPr>
          <w:lang w:val="en-GB"/>
        </w:rPr>
        <w:t>disaster</w:t>
      </w:r>
      <w:r w:rsidR="00F66C13">
        <w:rPr>
          <w:lang w:val="en-GB"/>
        </w:rPr>
        <w:t xml:space="preserve"> involving</w:t>
      </w:r>
      <w:r w:rsidR="008A3049" w:rsidRPr="008A3049">
        <w:rPr>
          <w:lang w:val="en-GB"/>
        </w:rPr>
        <w:t xml:space="preserve"> the dangerous substance </w:t>
      </w:r>
      <w:r w:rsidR="002741A3">
        <w:rPr>
          <w:lang w:val="en-GB"/>
        </w:rPr>
        <w:t>in storage</w:t>
      </w:r>
      <w:r w:rsidR="008A3049" w:rsidRPr="008A3049">
        <w:rPr>
          <w:lang w:val="en-GB"/>
        </w:rPr>
        <w:t xml:space="preserve">. </w:t>
      </w:r>
      <w:r w:rsidR="00432058">
        <w:rPr>
          <w:lang w:val="en-GB"/>
        </w:rPr>
        <w:t xml:space="preserve">In this line, </w:t>
      </w:r>
      <w:r w:rsidR="00EB2699">
        <w:rPr>
          <w:lang w:val="en-GB"/>
        </w:rPr>
        <w:t xml:space="preserve">previous </w:t>
      </w:r>
      <w:r w:rsidR="00BD3B65" w:rsidRPr="00BD3B65">
        <w:rPr>
          <w:lang w:val="en-GB"/>
        </w:rPr>
        <w:t>authors also looked at using rating-based systems</w:t>
      </w:r>
      <w:r w:rsidR="000537ED">
        <w:rPr>
          <w:lang w:val="en-GB"/>
        </w:rPr>
        <w:t xml:space="preserve"> </w:t>
      </w:r>
      <w:r w:rsidR="000537ED">
        <w:rPr>
          <w:lang w:val="en-GB"/>
        </w:rPr>
        <w:fldChar w:fldCharType="begin"/>
      </w:r>
      <w:r w:rsidR="000537ED">
        <w:rPr>
          <w:lang w:val="en-GB"/>
        </w:rPr>
        <w:instrText xml:space="preserve"> ADDIN ZOTERO_ITEM CSL_CITATION {"citationID":"9DY9z57l","properties":{"formattedCitation":"(Pilone et al., 2022)","plainCitation":"(Pilone et al., 2022)","noteIndex":0},"citationItems":[{"id":921,"uris":["http://zotero.org/users/11820899/items/GK8ER542"],"itemData":{"id":921,"type":"article-journal","container-title":"Chemical Engineering Transactions","DOI":"10.3303/CET2290038","language":"en","page":"223-228","source":"DOI.org (CSL JSON)","title":"Na-Tech Risk: a New Challenge for Local Planners","title-short":"Na-Tech Risk","volume":"90","author":[{"family":"Pilone","given":"Eleonora"},{"family":"Demichela","given":"Micaela"},{"family":"Camuncoli","given":"Gianfranco"}],"issued":{"date-parts":[["2022",5]]}}}],"schema":"https://github.com/citation-style-language/schema/raw/master/csl-citation.json"} </w:instrText>
      </w:r>
      <w:r w:rsidR="000537ED">
        <w:rPr>
          <w:lang w:val="en-GB"/>
        </w:rPr>
        <w:fldChar w:fldCharType="separate"/>
      </w:r>
      <w:r w:rsidR="000537ED" w:rsidRPr="00721B2D">
        <w:rPr>
          <w:rFonts w:cs="Arial"/>
        </w:rPr>
        <w:t>(Pilone et al.,</w:t>
      </w:r>
      <w:r w:rsidR="004822E9">
        <w:rPr>
          <w:rFonts w:cs="Arial"/>
        </w:rPr>
        <w:t xml:space="preserve"> 2021;</w:t>
      </w:r>
      <w:r w:rsidR="000537ED" w:rsidRPr="00721B2D">
        <w:rPr>
          <w:rFonts w:cs="Arial"/>
        </w:rPr>
        <w:t xml:space="preserve"> 2022)</w:t>
      </w:r>
      <w:r w:rsidR="000537ED">
        <w:rPr>
          <w:lang w:val="en-GB"/>
        </w:rPr>
        <w:fldChar w:fldCharType="end"/>
      </w:r>
      <w:r w:rsidR="000537ED">
        <w:rPr>
          <w:lang w:val="en-GB"/>
        </w:rPr>
        <w:t>,</w:t>
      </w:r>
      <w:r w:rsidR="00BD3B65" w:rsidRPr="00BD3B65">
        <w:rPr>
          <w:lang w:val="en-GB"/>
        </w:rPr>
        <w:t xml:space="preserve"> </w:t>
      </w:r>
      <w:r w:rsidR="000537ED">
        <w:rPr>
          <w:lang w:val="en-GB"/>
        </w:rPr>
        <w:t>which</w:t>
      </w:r>
      <w:r w:rsidR="00EB2699">
        <w:rPr>
          <w:lang w:val="en-GB"/>
        </w:rPr>
        <w:t xml:space="preserve"> </w:t>
      </w:r>
      <w:r w:rsidR="00BD3B65" w:rsidRPr="00BD3B65">
        <w:rPr>
          <w:lang w:val="en-GB"/>
        </w:rPr>
        <w:t xml:space="preserve">would be a consistent way to make decisions when </w:t>
      </w:r>
      <w:r w:rsidR="004822E9" w:rsidRPr="00BD3B65">
        <w:rPr>
          <w:lang w:val="en-GB"/>
        </w:rPr>
        <w:t>examining</w:t>
      </w:r>
      <w:r w:rsidR="00BD3B65" w:rsidRPr="00BD3B65">
        <w:rPr>
          <w:lang w:val="en-GB"/>
        </w:rPr>
        <w:t xml:space="preserve"> at the harmonized system of classifying dangerous substances used by Seveso establishments. However, some </w:t>
      </w:r>
      <w:r w:rsidR="002741A3">
        <w:rPr>
          <w:lang w:val="en-GB"/>
        </w:rPr>
        <w:t>opportunities to improve the</w:t>
      </w:r>
      <w:r w:rsidR="004822E9">
        <w:rPr>
          <w:lang w:val="en-GB"/>
        </w:rPr>
        <w:t>se</w:t>
      </w:r>
      <w:r w:rsidR="00BD3B65" w:rsidRPr="00BD3B65">
        <w:rPr>
          <w:lang w:val="en-GB"/>
        </w:rPr>
        <w:t xml:space="preserve"> </w:t>
      </w:r>
      <w:r w:rsidR="004822E9">
        <w:rPr>
          <w:lang w:val="en-GB"/>
        </w:rPr>
        <w:t>ideas are presented in this work</w:t>
      </w:r>
      <w:r w:rsidR="007E28B3">
        <w:rPr>
          <w:lang w:val="en-GB"/>
        </w:rPr>
        <w:t xml:space="preserve">. </w:t>
      </w:r>
      <w:r w:rsidR="00A11ABF">
        <w:rPr>
          <w:lang w:val="en-GB"/>
        </w:rPr>
        <w:t xml:space="preserve">From </w:t>
      </w:r>
      <w:r w:rsidR="00CD0B59">
        <w:rPr>
          <w:lang w:val="en-GB"/>
        </w:rPr>
        <w:t>these issues</w:t>
      </w:r>
      <w:r w:rsidR="00A11ABF">
        <w:rPr>
          <w:lang w:val="en-GB"/>
        </w:rPr>
        <w:t>, t</w:t>
      </w:r>
      <w:r w:rsidR="001F4D79" w:rsidRPr="001F4D79">
        <w:rPr>
          <w:lang w:val="en-GB"/>
        </w:rPr>
        <w:t xml:space="preserve">he goal </w:t>
      </w:r>
      <w:r w:rsidR="00A11ABF">
        <w:rPr>
          <w:lang w:val="en-GB"/>
        </w:rPr>
        <w:t xml:space="preserve">of this research </w:t>
      </w:r>
      <w:r w:rsidR="001F4D79" w:rsidRPr="001F4D79">
        <w:rPr>
          <w:lang w:val="en-GB"/>
        </w:rPr>
        <w:t xml:space="preserve">was to assess the potential </w:t>
      </w:r>
      <w:r w:rsidR="00C8788F">
        <w:rPr>
          <w:lang w:val="en-GB"/>
        </w:rPr>
        <w:t xml:space="preserve">of </w:t>
      </w:r>
      <w:r w:rsidR="001F4D79" w:rsidRPr="001F4D79">
        <w:rPr>
          <w:lang w:val="en-GB"/>
        </w:rPr>
        <w:t>industrial plants to cause major accidents</w:t>
      </w:r>
      <w:r w:rsidR="00CD0B59">
        <w:rPr>
          <w:lang w:val="en-GB"/>
        </w:rPr>
        <w:t>. I</w:t>
      </w:r>
      <w:r w:rsidR="00C81D4E">
        <w:rPr>
          <w:lang w:val="en-GB"/>
        </w:rPr>
        <w:t xml:space="preserve">t was achieved </w:t>
      </w:r>
      <w:r w:rsidR="00E402DC">
        <w:rPr>
          <w:lang w:val="en-GB"/>
        </w:rPr>
        <w:t xml:space="preserve">by </w:t>
      </w:r>
      <w:r w:rsidR="00CD0B59">
        <w:rPr>
          <w:lang w:val="en-GB"/>
        </w:rPr>
        <w:t>implement</w:t>
      </w:r>
      <w:r w:rsidR="00E402DC">
        <w:rPr>
          <w:lang w:val="en-GB"/>
        </w:rPr>
        <w:t>ing</w:t>
      </w:r>
      <w:r w:rsidR="00CD0B59">
        <w:rPr>
          <w:lang w:val="en-GB"/>
        </w:rPr>
        <w:t xml:space="preserve"> </w:t>
      </w:r>
      <w:r w:rsidR="002930A2" w:rsidRPr="002930A2">
        <w:rPr>
          <w:lang w:val="en-GB"/>
        </w:rPr>
        <w:t xml:space="preserve">a metric </w:t>
      </w:r>
      <w:r w:rsidR="001F4D79" w:rsidRPr="001F4D79">
        <w:rPr>
          <w:lang w:val="en-GB"/>
        </w:rPr>
        <w:t>based on criteria related to the dangerousness and quantity</w:t>
      </w:r>
      <w:r w:rsidR="00CD0B59">
        <w:rPr>
          <w:lang w:val="en-GB"/>
        </w:rPr>
        <w:t xml:space="preserve"> of </w:t>
      </w:r>
      <w:r w:rsidR="00C8788F" w:rsidRPr="001F4D79">
        <w:rPr>
          <w:lang w:val="en-GB"/>
        </w:rPr>
        <w:t>hazardous substances in</w:t>
      </w:r>
      <w:r w:rsidR="00C8788F">
        <w:rPr>
          <w:lang w:val="en-GB"/>
        </w:rPr>
        <w:t xml:space="preserve"> </w:t>
      </w:r>
      <w:r w:rsidR="00CD0B59">
        <w:rPr>
          <w:lang w:val="en-GB"/>
        </w:rPr>
        <w:t>stor</w:t>
      </w:r>
      <w:r w:rsidR="005B66FE">
        <w:rPr>
          <w:lang w:val="en-GB"/>
        </w:rPr>
        <w:t>age</w:t>
      </w:r>
      <w:r w:rsidR="001F4D79" w:rsidRPr="001F4D79">
        <w:rPr>
          <w:lang w:val="en-GB"/>
        </w:rPr>
        <w:t>, regardless of whether the facilities are classified as Seveso or non-Seveso.</w:t>
      </w:r>
    </w:p>
    <w:p w14:paraId="5741900F" w14:textId="1AE7A857" w:rsidR="00453E24" w:rsidRDefault="00150D98" w:rsidP="00453E24">
      <w:pPr>
        <w:pStyle w:val="CETHeading1"/>
      </w:pPr>
      <w:r>
        <w:t>Materials and Methods</w:t>
      </w:r>
    </w:p>
    <w:p w14:paraId="09406386" w14:textId="5BE30643" w:rsidR="00453E24" w:rsidRDefault="00273219" w:rsidP="00453E24">
      <w:pPr>
        <w:pStyle w:val="CETBodytext"/>
      </w:pPr>
      <w:r>
        <w:t xml:space="preserve">This </w:t>
      </w:r>
      <w:r w:rsidR="00EC09E7">
        <w:t>section is split in</w:t>
      </w:r>
      <w:r w:rsidR="000A7C29">
        <w:t>to</w:t>
      </w:r>
      <w:r w:rsidR="00EC09E7">
        <w:t xml:space="preserve"> the </w:t>
      </w:r>
      <w:r w:rsidR="00E237D8">
        <w:t xml:space="preserve">general </w:t>
      </w:r>
      <w:r w:rsidR="004521AA">
        <w:rPr>
          <w:lang w:val="en-GB"/>
        </w:rPr>
        <w:t xml:space="preserve">description of the plants used as </w:t>
      </w:r>
      <w:r w:rsidR="00E237D8">
        <w:rPr>
          <w:lang w:val="en-GB"/>
        </w:rPr>
        <w:t>a</w:t>
      </w:r>
      <w:r w:rsidR="00E237D8" w:rsidRPr="00F805CA">
        <w:rPr>
          <w:lang w:val="en-GB"/>
        </w:rPr>
        <w:t xml:space="preserve">nonymized </w:t>
      </w:r>
      <w:r w:rsidR="004521AA">
        <w:rPr>
          <w:lang w:val="en-GB"/>
        </w:rPr>
        <w:t xml:space="preserve">case studies and </w:t>
      </w:r>
      <w:r w:rsidR="00A16BAF">
        <w:rPr>
          <w:lang w:val="en-GB"/>
        </w:rPr>
        <w:t>the methodology f</w:t>
      </w:r>
      <w:r w:rsidR="00E237D8">
        <w:rPr>
          <w:lang w:val="en-GB"/>
        </w:rPr>
        <w:t xml:space="preserve">or calculating </w:t>
      </w:r>
      <w:r w:rsidR="00866C61">
        <w:rPr>
          <w:lang w:val="en-GB"/>
        </w:rPr>
        <w:t xml:space="preserve">the </w:t>
      </w:r>
      <w:r w:rsidR="00266BFC">
        <w:rPr>
          <w:lang w:val="en-GB"/>
        </w:rPr>
        <w:t xml:space="preserve">major </w:t>
      </w:r>
      <w:r w:rsidR="00B30022">
        <w:rPr>
          <w:lang w:val="en-GB"/>
        </w:rPr>
        <w:t xml:space="preserve">industrial </w:t>
      </w:r>
      <w:r w:rsidR="00266BFC">
        <w:rPr>
          <w:lang w:val="en-GB"/>
        </w:rPr>
        <w:t xml:space="preserve">accident </w:t>
      </w:r>
      <w:r w:rsidR="00866C61" w:rsidRPr="00866C61">
        <w:rPr>
          <w:lang w:val="en-GB"/>
        </w:rPr>
        <w:t>potential</w:t>
      </w:r>
      <w:r w:rsidR="00995950">
        <w:rPr>
          <w:lang w:val="en-GB"/>
        </w:rPr>
        <w:t xml:space="preserve">ity </w:t>
      </w:r>
      <w:r w:rsidR="00866C61" w:rsidRPr="00866C61">
        <w:rPr>
          <w:lang w:val="en-GB"/>
        </w:rPr>
        <w:t>based on dangerous substance criteria</w:t>
      </w:r>
      <w:r w:rsidR="00977337">
        <w:rPr>
          <w:lang w:val="en-GB"/>
        </w:rPr>
        <w:t>.</w:t>
      </w:r>
    </w:p>
    <w:p w14:paraId="0636B784" w14:textId="3F38B4CB" w:rsidR="00453E24" w:rsidRDefault="00977337" w:rsidP="000D6F99">
      <w:pPr>
        <w:pStyle w:val="CETheadingx"/>
      </w:pPr>
      <w:r>
        <w:rPr>
          <w:lang w:val="en-GB"/>
        </w:rPr>
        <w:t>A</w:t>
      </w:r>
      <w:r w:rsidRPr="00F805CA">
        <w:rPr>
          <w:lang w:val="en-GB"/>
        </w:rPr>
        <w:t>nonymized</w:t>
      </w:r>
      <w:r>
        <w:t xml:space="preserve"> industrial plants used as </w:t>
      </w:r>
      <w:r w:rsidR="000A7C29">
        <w:t xml:space="preserve">a </w:t>
      </w:r>
      <w:r>
        <w:t>c</w:t>
      </w:r>
      <w:r w:rsidR="00F26CC1">
        <w:t>ase study</w:t>
      </w:r>
    </w:p>
    <w:p w14:paraId="2798779F" w14:textId="4F4940D2" w:rsidR="007F0A2F" w:rsidRPr="004F0385" w:rsidRDefault="00FC2F5E" w:rsidP="00416BA8">
      <w:pPr>
        <w:pStyle w:val="CETBodytext"/>
        <w:rPr>
          <w:szCs w:val="18"/>
        </w:rPr>
      </w:pPr>
      <w:r>
        <w:t xml:space="preserve">On the one hand, </w:t>
      </w:r>
      <w:r w:rsidR="00E11CA4" w:rsidRPr="00C1348F">
        <w:t>Plant A</w:t>
      </w:r>
      <w:r w:rsidR="00416BA8">
        <w:t xml:space="preserve"> </w:t>
      </w:r>
      <w:r w:rsidR="00D578CF" w:rsidRPr="00D578CF">
        <w:t xml:space="preserve">consisted </w:t>
      </w:r>
      <w:r w:rsidR="000A7C29">
        <w:t xml:space="preserve">of </w:t>
      </w:r>
      <w:r w:rsidR="00D578CF" w:rsidRPr="00D578CF">
        <w:t xml:space="preserve">typical industrial typology clustered in the macro-sector </w:t>
      </w:r>
      <w:r w:rsidR="007F0A2F" w:rsidRPr="007F0A2F">
        <w:t xml:space="preserve">“chemical and petrochemical industry” </w:t>
      </w:r>
      <w:r w:rsidR="007F0A2F">
        <w:fldChar w:fldCharType="begin"/>
      </w:r>
      <w:r w:rsidR="007F0A2F">
        <w:instrText xml:space="preserve"> ADDIN ZOTERO_ITEM CSL_CITATION {"citationID":"nty7lPS0","properties":{"formattedCitation":"(Casson Moreno et al., 2018)","plainCitation":"(Casson Moreno et al., 2018)","noteIndex":0},"citationItems":[{"id":263,"uris":["http://zotero.org/users/11820899/items/94DZEBET"],"itemData":{"id":263,"type":"article-journal","container-title":"Process Safety and Environmental Protection","DOI":"10.1016/j.psep.2018.03.026","ISSN":"09575820","journalAbbreviation":"Process Safety and Environmental Protection","language":"en","page":"621-631","source":"DOI.org (Crossref)","title":"Analysis of physical and cyber security-related events in the chemical and process industry","volume":"116","author":[{"family":"Casson Moreno","given":"Valeria"},{"family":"Reniers","given":"Genserik"},{"family":"Salzano","given":"Ernesto"},{"family":"Cozzani","given":"Valerio"}],"issued":{"date-parts":[["2018",5]]}}}],"schema":"https://github.com/citation-style-language/schema/raw/master/csl-citation.json"} </w:instrText>
      </w:r>
      <w:r w:rsidR="007F0A2F">
        <w:fldChar w:fldCharType="separate"/>
      </w:r>
      <w:r w:rsidR="007F0A2F" w:rsidRPr="00C1348F">
        <w:rPr>
          <w:rFonts w:cs="Arial"/>
        </w:rPr>
        <w:t>(Casson Moreno et al., 2018)</w:t>
      </w:r>
      <w:r w:rsidR="007F0A2F">
        <w:fldChar w:fldCharType="end"/>
      </w:r>
      <w:r w:rsidR="007F0A2F" w:rsidRPr="007F0A2F">
        <w:t xml:space="preserve">. Its specific activity is the production of lubricants and oil additives, where </w:t>
      </w:r>
      <w:r w:rsidR="00B30022" w:rsidRPr="007F0A2F">
        <w:t>both</w:t>
      </w:r>
      <w:r w:rsidR="007F0A2F" w:rsidRPr="007F0A2F">
        <w:t xml:space="preserve"> the principal raw materials used, and the final products, are mostly chemicals. The </w:t>
      </w:r>
      <w:r w:rsidR="005B1434">
        <w:t>unit</w:t>
      </w:r>
      <w:r w:rsidR="005B1434" w:rsidRPr="007F0A2F">
        <w:t xml:space="preserve"> </w:t>
      </w:r>
      <w:r w:rsidR="007F0A2F" w:rsidRPr="004F0385">
        <w:rPr>
          <w:szCs w:val="18"/>
        </w:rPr>
        <w:t xml:space="preserve">operations that are carried out in the plant are both chemical (neutralization, carbonation, polymerization) and physical (distillation, filtration, blending). The activities also include auxiliary technical systems necessary for the </w:t>
      </w:r>
      <w:r w:rsidR="003E0D16" w:rsidRPr="004F0385">
        <w:rPr>
          <w:szCs w:val="18"/>
        </w:rPr>
        <w:t xml:space="preserve">operation </w:t>
      </w:r>
      <w:r w:rsidR="003E0D16">
        <w:rPr>
          <w:szCs w:val="18"/>
        </w:rPr>
        <w:t xml:space="preserve">of the </w:t>
      </w:r>
      <w:r w:rsidR="007F0A2F" w:rsidRPr="004F0385">
        <w:rPr>
          <w:szCs w:val="18"/>
        </w:rPr>
        <w:t>production plant, such as compressed air</w:t>
      </w:r>
      <w:r w:rsidR="003E0D16">
        <w:rPr>
          <w:szCs w:val="18"/>
        </w:rPr>
        <w:t xml:space="preserve"> </w:t>
      </w:r>
      <w:r w:rsidR="009F6386">
        <w:rPr>
          <w:szCs w:val="18"/>
        </w:rPr>
        <w:t>production and distribution</w:t>
      </w:r>
      <w:r w:rsidR="007F0A2F" w:rsidRPr="004F0385">
        <w:rPr>
          <w:szCs w:val="18"/>
        </w:rPr>
        <w:t xml:space="preserve">, </w:t>
      </w:r>
      <w:r w:rsidR="009F6386" w:rsidRPr="004F0385">
        <w:rPr>
          <w:szCs w:val="18"/>
        </w:rPr>
        <w:t>treat</w:t>
      </w:r>
      <w:r w:rsidR="009F6386">
        <w:rPr>
          <w:szCs w:val="18"/>
        </w:rPr>
        <w:t>ment of</w:t>
      </w:r>
      <w:r w:rsidR="009F6386" w:rsidRPr="004F0385">
        <w:rPr>
          <w:szCs w:val="18"/>
        </w:rPr>
        <w:t xml:space="preserve"> </w:t>
      </w:r>
      <w:r w:rsidR="007F0A2F" w:rsidRPr="004F0385">
        <w:rPr>
          <w:szCs w:val="18"/>
        </w:rPr>
        <w:t xml:space="preserve">wastewater, steam production, and nitrogen </w:t>
      </w:r>
      <w:r w:rsidR="009F6386">
        <w:rPr>
          <w:szCs w:val="18"/>
        </w:rPr>
        <w:t xml:space="preserve">supply </w:t>
      </w:r>
      <w:r w:rsidR="00C74201" w:rsidRPr="004F0385">
        <w:rPr>
          <w:szCs w:val="18"/>
        </w:rPr>
        <w:fldChar w:fldCharType="begin"/>
      </w:r>
      <w:r w:rsidR="00BE2F47" w:rsidRPr="004F0385">
        <w:rPr>
          <w:szCs w:val="18"/>
        </w:rPr>
        <w:instrText xml:space="preserve"> ADDIN ZOTERO_ITEM CSL_CITATION {"citationID":"9uaWyqN4","properties":{"formattedCitation":"(Castro Rodriguez et al., 2023a)","plainCitation":"(Castro Rodriguez et al., 2023a)","noteIndex":0},"citationItems":[{"id":929,"uris":["http://zotero.org/users/11820899/items/SDRJJIF2"],"itemData":{"id":929,"type":"paper-conference","container-title":"Proceedings of the ESREL 2023","DOI":"https://doi.org/10.3850/978-981-18-8071-1_P187-cd","event-place":"Southampton, UK","event-title":"The 33rd European Safety and Reliability Conference (ESREL 2023)","language":"English","license":"Licenza Creative Commons Attribuzione - Non commerciale - Non opere derivate 4.0 Internazionale (CC BY-NC-ND 4.0) (CC-BY-NC-ND)","page":"2181-2188","publisher-place":"Southampton, UK","title":"Vulnerability Scenario Characterization in an Industrial Context using a Natech Indicator and a Territorial Multi-Risk Approach","URL":"https://www.rpsonline.com.sg/proceedings/esrel2023/pdf/P187.pdf","author":[{"family":"Castro Rodriguez","given":"David Javier"},{"family":"Demichela","given":"Micaela"},{"family":"Beltramino","given":"Simone"},{"family":"Scalas","given":"Mattia"},{"family":"Brunetta","given":"Grazia"},{"family":"Barresi","given":"Antonello"}],"issued":{"date-parts":[["2023",1,1]]}}}],"schema":"https://github.com/citation-style-language/schema/raw/master/csl-citation.json"} </w:instrText>
      </w:r>
      <w:r w:rsidR="00C74201" w:rsidRPr="004F0385">
        <w:rPr>
          <w:szCs w:val="18"/>
        </w:rPr>
        <w:fldChar w:fldCharType="separate"/>
      </w:r>
      <w:r w:rsidR="00BE2F47" w:rsidRPr="004F0385">
        <w:rPr>
          <w:rFonts w:cs="Arial"/>
          <w:szCs w:val="18"/>
        </w:rPr>
        <w:t>(Castro Rodriguez et al., 2023a)</w:t>
      </w:r>
      <w:r w:rsidR="00C74201" w:rsidRPr="004F0385">
        <w:rPr>
          <w:szCs w:val="18"/>
        </w:rPr>
        <w:fldChar w:fldCharType="end"/>
      </w:r>
      <w:r w:rsidR="007F0A2F" w:rsidRPr="004F0385">
        <w:rPr>
          <w:szCs w:val="18"/>
        </w:rPr>
        <w:t>.</w:t>
      </w:r>
    </w:p>
    <w:p w14:paraId="7C2B0064" w14:textId="49C3AF07" w:rsidR="00453E24" w:rsidRPr="004F0385" w:rsidRDefault="007F0A2F" w:rsidP="00416BA8">
      <w:pPr>
        <w:pStyle w:val="CETBodytext"/>
        <w:rPr>
          <w:szCs w:val="18"/>
        </w:rPr>
      </w:pPr>
      <w:r w:rsidRPr="004F0385">
        <w:rPr>
          <w:szCs w:val="18"/>
        </w:rPr>
        <w:t xml:space="preserve">On the </w:t>
      </w:r>
      <w:r w:rsidR="00B62867" w:rsidRPr="004F0385">
        <w:rPr>
          <w:szCs w:val="18"/>
        </w:rPr>
        <w:t>other</w:t>
      </w:r>
      <w:r w:rsidRPr="004F0385">
        <w:rPr>
          <w:szCs w:val="18"/>
        </w:rPr>
        <w:t xml:space="preserve"> hand, Plant B</w:t>
      </w:r>
      <w:r w:rsidR="00B62867" w:rsidRPr="004F0385">
        <w:rPr>
          <w:szCs w:val="18"/>
        </w:rPr>
        <w:t xml:space="preserve"> </w:t>
      </w:r>
      <w:r w:rsidR="00B76141" w:rsidRPr="004F0385">
        <w:rPr>
          <w:szCs w:val="18"/>
        </w:rPr>
        <w:t xml:space="preserve"> </w:t>
      </w:r>
      <w:r w:rsidR="00D578CF" w:rsidRPr="004F0385">
        <w:rPr>
          <w:szCs w:val="18"/>
        </w:rPr>
        <w:t xml:space="preserve">corresponds </w:t>
      </w:r>
      <w:r w:rsidR="005B1434" w:rsidRPr="004F0385">
        <w:rPr>
          <w:szCs w:val="18"/>
        </w:rPr>
        <w:t xml:space="preserve">to </w:t>
      </w:r>
      <w:r w:rsidR="00D578CF" w:rsidRPr="004F0385">
        <w:rPr>
          <w:szCs w:val="18"/>
        </w:rPr>
        <w:t xml:space="preserve">a plant clustered in the category </w:t>
      </w:r>
      <w:r w:rsidR="00416BA8" w:rsidRPr="004F0385">
        <w:rPr>
          <w:szCs w:val="18"/>
        </w:rPr>
        <w:t>“Power production”</w:t>
      </w:r>
      <w:r w:rsidR="005B1434" w:rsidRPr="004F0385">
        <w:rPr>
          <w:szCs w:val="18"/>
        </w:rPr>
        <w:t>; its</w:t>
      </w:r>
      <w:r w:rsidR="00416BA8" w:rsidRPr="004F0385">
        <w:rPr>
          <w:szCs w:val="18"/>
        </w:rPr>
        <w:t xml:space="preserve"> specific activity is the power production from the combustion o</w:t>
      </w:r>
      <w:r w:rsidR="00C1348F" w:rsidRPr="004F0385">
        <w:rPr>
          <w:szCs w:val="18"/>
        </w:rPr>
        <w:t xml:space="preserve">f </w:t>
      </w:r>
      <w:r w:rsidR="00416BA8" w:rsidRPr="004F0385">
        <w:rPr>
          <w:szCs w:val="18"/>
        </w:rPr>
        <w:t>hydrocarbons</w:t>
      </w:r>
      <w:r w:rsidR="00FC2F5E" w:rsidRPr="004F0385">
        <w:rPr>
          <w:szCs w:val="18"/>
        </w:rPr>
        <w:t xml:space="preserve"> </w:t>
      </w:r>
      <w:r w:rsidR="00C1348F" w:rsidRPr="004F0385">
        <w:rPr>
          <w:szCs w:val="18"/>
        </w:rPr>
        <w:fldChar w:fldCharType="begin"/>
      </w:r>
      <w:r w:rsidR="00C74201" w:rsidRPr="004F0385">
        <w:rPr>
          <w:szCs w:val="18"/>
        </w:rPr>
        <w:instrText xml:space="preserve"> ADDIN ZOTERO_ITEM CSL_CITATION {"citationID":"NzQsOLk8","properties":{"formattedCitation":"(Casson Moreno et al., 2018)","plainCitation":"(Casson Moreno et al., 2018)","noteIndex":0},"citationItems":[{"id":263,"uris":["http://zotero.org/users/11820899/items/94DZEBET"],"itemData":{"id":263,"type":"article-journal","container-title":"Process Safety and Environmental Protection","DOI":"10.1016/j.psep.2018.03.026","ISSN":"09575820","journalAbbreviation":"Process Safety and Environmental Protection","language":"en","page":"621-631","source":"DOI.org (Crossref)","title":"Analysis of physical and cyber security-related events in the chemical and process industry","volume":"116","author":[{"family":"Casson Moreno","given":"Valeria"},{"family":"Reniers","given":"Genserik"},{"family":"Salzano","given":"Ernesto"},{"family":"Cozzani","given":"Valerio"}],"issued":{"date-parts":[["2018",5]]}}}],"schema":"https://github.com/citation-style-language/schema/raw/master/csl-citation.json"} </w:instrText>
      </w:r>
      <w:r w:rsidR="00C1348F" w:rsidRPr="004F0385">
        <w:rPr>
          <w:szCs w:val="18"/>
        </w:rPr>
        <w:fldChar w:fldCharType="separate"/>
      </w:r>
      <w:r w:rsidR="00C1348F" w:rsidRPr="004F0385">
        <w:rPr>
          <w:rFonts w:cs="Arial"/>
          <w:szCs w:val="18"/>
        </w:rPr>
        <w:t>(Casson Moreno et al., 2018)</w:t>
      </w:r>
      <w:r w:rsidR="00C1348F" w:rsidRPr="004F0385">
        <w:rPr>
          <w:szCs w:val="18"/>
        </w:rPr>
        <w:fldChar w:fldCharType="end"/>
      </w:r>
      <w:r w:rsidR="00416BA8" w:rsidRPr="004F0385">
        <w:rPr>
          <w:szCs w:val="18"/>
        </w:rPr>
        <w:t xml:space="preserve">. The unit operations that are carried out in the plant are both chemical and physical. The activities also </w:t>
      </w:r>
      <w:r w:rsidR="009F6386">
        <w:rPr>
          <w:szCs w:val="18"/>
        </w:rPr>
        <w:t xml:space="preserve">in this case </w:t>
      </w:r>
      <w:r w:rsidR="00416BA8" w:rsidRPr="004F0385">
        <w:rPr>
          <w:szCs w:val="18"/>
        </w:rPr>
        <w:t xml:space="preserve">include auxiliary technical systems necessary for the </w:t>
      </w:r>
      <w:r w:rsidR="009F6386" w:rsidRPr="004F0385">
        <w:rPr>
          <w:szCs w:val="18"/>
        </w:rPr>
        <w:t xml:space="preserve">operation </w:t>
      </w:r>
      <w:r w:rsidR="009F6386">
        <w:rPr>
          <w:szCs w:val="18"/>
        </w:rPr>
        <w:t>of the</w:t>
      </w:r>
      <w:r w:rsidR="009F6386" w:rsidRPr="004F0385">
        <w:rPr>
          <w:szCs w:val="18"/>
        </w:rPr>
        <w:t xml:space="preserve"> </w:t>
      </w:r>
      <w:r w:rsidR="00416BA8" w:rsidRPr="004F0385">
        <w:rPr>
          <w:szCs w:val="18"/>
        </w:rPr>
        <w:t>plan, such as compressed air</w:t>
      </w:r>
      <w:r w:rsidR="009F6386">
        <w:rPr>
          <w:szCs w:val="18"/>
        </w:rPr>
        <w:t xml:space="preserve"> distribution</w:t>
      </w:r>
      <w:r w:rsidR="00416BA8" w:rsidRPr="004F0385">
        <w:rPr>
          <w:szCs w:val="18"/>
        </w:rPr>
        <w:t xml:space="preserve">, </w:t>
      </w:r>
      <w:r w:rsidR="009F6386" w:rsidRPr="004F0385">
        <w:rPr>
          <w:szCs w:val="18"/>
        </w:rPr>
        <w:t>treat</w:t>
      </w:r>
      <w:r w:rsidR="009F6386">
        <w:rPr>
          <w:szCs w:val="18"/>
        </w:rPr>
        <w:t>ment of</w:t>
      </w:r>
      <w:r w:rsidR="009F6386" w:rsidRPr="004F0385">
        <w:rPr>
          <w:szCs w:val="18"/>
        </w:rPr>
        <w:t xml:space="preserve"> </w:t>
      </w:r>
      <w:r w:rsidR="00416BA8" w:rsidRPr="004F0385">
        <w:rPr>
          <w:szCs w:val="18"/>
        </w:rPr>
        <w:t>wastewater, steam production, and warehousing. Within all the processes and functions of the plant</w:t>
      </w:r>
      <w:r w:rsidR="000A7C29" w:rsidRPr="004F0385">
        <w:rPr>
          <w:szCs w:val="18"/>
        </w:rPr>
        <w:t>,</w:t>
      </w:r>
      <w:r w:rsidR="00416BA8" w:rsidRPr="004F0385">
        <w:rPr>
          <w:szCs w:val="18"/>
        </w:rPr>
        <w:t xml:space="preserve"> the following items were identified: atmospheric storage tanks, tall structures such as chimneys and process columns and equipment, heat exchangers, complex systems of pipelines, complex electrical networks, and water treatment </w:t>
      </w:r>
      <w:r w:rsidR="00AA6D15">
        <w:rPr>
          <w:szCs w:val="18"/>
        </w:rPr>
        <w:t>facilities</w:t>
      </w:r>
      <w:r w:rsidR="00AA6D15" w:rsidRPr="004F0385">
        <w:rPr>
          <w:szCs w:val="18"/>
        </w:rPr>
        <w:t xml:space="preserve"> </w:t>
      </w:r>
      <w:r w:rsidR="00BE2F47" w:rsidRPr="004F0385">
        <w:rPr>
          <w:szCs w:val="18"/>
        </w:rPr>
        <w:fldChar w:fldCharType="begin"/>
      </w:r>
      <w:r w:rsidR="00BE2F47" w:rsidRPr="004F0385">
        <w:rPr>
          <w:szCs w:val="18"/>
        </w:rPr>
        <w:instrText xml:space="preserve"> ADDIN ZOTERO_ITEM CSL_CITATION {"citationID":"NOPFdrZX","properties":{"formattedCitation":"(Castro Rodriguez et al., 2023b)","plainCitation":"(Castro Rodriguez et al., 2023b)","noteIndex":0},"citationItems":[{"id":405,"uris":["http://zotero.org/users/11820899/items/LL7JZJBV"],"itemData":{"id":405,"type":"article-journal","container-title":"Chemical Engineering Transactions","DOI":"10.3303/CET23100008","language":"en","license":"Licenza Creative Commons Attribuzione - Non commerciale - Non opere derivate 4.0 Internazionale (CC BY-NC-ND 4.0) (CC-BY-NC-ND)","page":"43-48","source":"DOI.org (CSL JSON)","title":"Implementation of a Natech Vulnerability Index in a Seveso Plant","volume":"100","author":[{"family":"Castro Rodriguez","given":"David Javier"},{"family":"Pilone","given":"Eleonora"},{"family":"Camuncoli","given":"Gianfranco"},{"family":"Demichela","given":"Micaela"}],"issued":{"date-parts":[["2023",6]]}}}],"schema":"https://github.com/citation-style-language/schema/raw/master/csl-citation.json"} </w:instrText>
      </w:r>
      <w:r w:rsidR="00BE2F47" w:rsidRPr="004F0385">
        <w:rPr>
          <w:szCs w:val="18"/>
        </w:rPr>
        <w:fldChar w:fldCharType="separate"/>
      </w:r>
      <w:r w:rsidR="00BE2F47" w:rsidRPr="004F0385">
        <w:rPr>
          <w:rFonts w:cs="Arial"/>
          <w:szCs w:val="18"/>
        </w:rPr>
        <w:t>(Castro Rodriguez et al., 2023b)</w:t>
      </w:r>
      <w:r w:rsidR="00BE2F47" w:rsidRPr="004F0385">
        <w:rPr>
          <w:szCs w:val="18"/>
        </w:rPr>
        <w:fldChar w:fldCharType="end"/>
      </w:r>
      <w:r w:rsidR="00416BA8" w:rsidRPr="004F0385">
        <w:rPr>
          <w:szCs w:val="18"/>
        </w:rPr>
        <w:t>.</w:t>
      </w:r>
    </w:p>
    <w:p w14:paraId="18BAFA6F" w14:textId="73ECAD38" w:rsidR="00453E24" w:rsidRPr="00B57B36" w:rsidRDefault="00F26CC1" w:rsidP="000D6F99">
      <w:pPr>
        <w:pStyle w:val="CETheadingx"/>
      </w:pPr>
      <w:r>
        <w:t>Method</w:t>
      </w:r>
      <w:r w:rsidR="00A16BAF">
        <w:t>ology for calculating</w:t>
      </w:r>
      <w:r w:rsidR="00977337">
        <w:t xml:space="preserve"> </w:t>
      </w:r>
      <w:bookmarkStart w:id="2" w:name="_Hlk177143804"/>
      <w:r w:rsidR="00977337" w:rsidRPr="00977337">
        <w:t xml:space="preserve">the </w:t>
      </w:r>
      <w:r w:rsidR="00977337">
        <w:t>major accidents</w:t>
      </w:r>
      <w:r w:rsidR="00977337" w:rsidRPr="00977337">
        <w:t xml:space="preserve"> </w:t>
      </w:r>
      <w:r w:rsidR="003E5449" w:rsidRPr="00977337">
        <w:t>potential</w:t>
      </w:r>
      <w:r w:rsidR="003E5449">
        <w:t xml:space="preserve">ity </w:t>
      </w:r>
      <w:r w:rsidR="00977337" w:rsidRPr="00977337">
        <w:t>based on dangerous substance criteria</w:t>
      </w:r>
      <w:bookmarkEnd w:id="2"/>
    </w:p>
    <w:p w14:paraId="2DFC21B5" w14:textId="3027F71C" w:rsidR="00DE614D" w:rsidRDefault="00F60149" w:rsidP="00DE614D">
      <w:pPr>
        <w:pStyle w:val="CETBodytext"/>
        <w:rPr>
          <w:lang w:val="en-GB"/>
        </w:rPr>
      </w:pPr>
      <w:r w:rsidRPr="00F60149">
        <w:rPr>
          <w:lang w:val="en-GB"/>
        </w:rPr>
        <w:t xml:space="preserve">Initially, the </w:t>
      </w:r>
      <w:r w:rsidR="001B206F">
        <w:rPr>
          <w:lang w:val="en-GB"/>
        </w:rPr>
        <w:t>“type</w:t>
      </w:r>
      <w:r w:rsidR="008D11AE">
        <w:rPr>
          <w:lang w:val="en-GB"/>
        </w:rPr>
        <w:t xml:space="preserve">” of </w:t>
      </w:r>
      <w:r w:rsidRPr="00F60149">
        <w:rPr>
          <w:lang w:val="en-GB"/>
        </w:rPr>
        <w:t>hazardous substances (</w:t>
      </w:r>
      <w:r w:rsidRPr="00F60149">
        <w:rPr>
          <w:i/>
          <w:iCs/>
          <w:lang w:val="en-GB"/>
        </w:rPr>
        <w:t>C</w:t>
      </w:r>
      <w:r w:rsidRPr="00F60149">
        <w:rPr>
          <w:i/>
          <w:iCs/>
          <w:vertAlign w:val="subscript"/>
          <w:lang w:val="en-GB"/>
        </w:rPr>
        <w:t>s</w:t>
      </w:r>
      <w:r w:rsidRPr="00F60149">
        <w:rPr>
          <w:lang w:val="en-GB"/>
        </w:rPr>
        <w:t xml:space="preserve">) was </w:t>
      </w:r>
      <w:r w:rsidR="0019225F">
        <w:rPr>
          <w:lang w:val="en-GB"/>
        </w:rPr>
        <w:t>classified in</w:t>
      </w:r>
      <w:r w:rsidR="007E00E1">
        <w:rPr>
          <w:lang w:val="en-GB"/>
        </w:rPr>
        <w:t xml:space="preserve"> the following </w:t>
      </w:r>
      <w:r w:rsidR="00AD60E9">
        <w:rPr>
          <w:lang w:val="en-GB"/>
        </w:rPr>
        <w:t>categories</w:t>
      </w:r>
      <w:r w:rsidRPr="00F60149">
        <w:rPr>
          <w:lang w:val="en-GB"/>
        </w:rPr>
        <w:t xml:space="preserve">: </w:t>
      </w:r>
      <w:r w:rsidRPr="00F60149">
        <w:rPr>
          <w:i/>
          <w:iCs/>
          <w:lang w:val="en-GB"/>
        </w:rPr>
        <w:t>C</w:t>
      </w:r>
      <w:r w:rsidRPr="00F60149">
        <w:rPr>
          <w:i/>
          <w:iCs/>
          <w:vertAlign w:val="subscript"/>
          <w:lang w:val="en-GB"/>
        </w:rPr>
        <w:t>a</w:t>
      </w:r>
      <w:r w:rsidRPr="00F60149">
        <w:rPr>
          <w:i/>
          <w:iCs/>
          <w:lang w:val="en-GB"/>
        </w:rPr>
        <w:t xml:space="preserve"> </w:t>
      </w:r>
      <w:r w:rsidRPr="00F60149">
        <w:rPr>
          <w:lang w:val="en-GB"/>
        </w:rPr>
        <w:t xml:space="preserve">(health risks), </w:t>
      </w:r>
      <w:r w:rsidRPr="00F60149">
        <w:rPr>
          <w:i/>
          <w:iCs/>
          <w:lang w:val="en-GB"/>
        </w:rPr>
        <w:t>C</w:t>
      </w:r>
      <w:r w:rsidRPr="00F60149">
        <w:rPr>
          <w:i/>
          <w:iCs/>
          <w:vertAlign w:val="subscript"/>
          <w:lang w:val="en-GB"/>
        </w:rPr>
        <w:t>b</w:t>
      </w:r>
      <w:r w:rsidRPr="00F60149">
        <w:rPr>
          <w:lang w:val="en-GB"/>
        </w:rPr>
        <w:t xml:space="preserve"> (physical hazards), and </w:t>
      </w:r>
      <w:r w:rsidRPr="00F60149">
        <w:rPr>
          <w:i/>
          <w:iCs/>
          <w:lang w:val="en-GB"/>
        </w:rPr>
        <w:t>C</w:t>
      </w:r>
      <w:r w:rsidRPr="00F60149">
        <w:rPr>
          <w:i/>
          <w:iCs/>
          <w:vertAlign w:val="subscript"/>
          <w:lang w:val="en-GB"/>
        </w:rPr>
        <w:t>c</w:t>
      </w:r>
      <w:r w:rsidRPr="00F60149">
        <w:rPr>
          <w:lang w:val="en-GB"/>
        </w:rPr>
        <w:t xml:space="preserve"> (environmental hazards), </w:t>
      </w:r>
      <w:r w:rsidR="007E00E1">
        <w:rPr>
          <w:lang w:val="en-GB"/>
        </w:rPr>
        <w:t>therefore</w:t>
      </w:r>
      <w:r w:rsidR="007E00E1" w:rsidRPr="00F60149">
        <w:rPr>
          <w:lang w:val="en-GB"/>
        </w:rPr>
        <w:t xml:space="preserve"> </w:t>
      </w:r>
      <w:r w:rsidRPr="00136E3F">
        <w:rPr>
          <w:i/>
          <w:iCs/>
          <w:lang w:val="en-GB"/>
        </w:rPr>
        <w:t>s=</w:t>
      </w:r>
      <w:r w:rsidRPr="001B206F">
        <w:rPr>
          <w:rFonts w:ascii="Cambria Math" w:hAnsi="Cambria Math" w:cs="Cambria Math"/>
          <w:lang w:val="en-GB"/>
        </w:rPr>
        <w:t>⧼</w:t>
      </w:r>
      <w:r w:rsidRPr="00136E3F">
        <w:rPr>
          <w:i/>
          <w:iCs/>
          <w:lang w:val="en-GB"/>
        </w:rPr>
        <w:t>a, b, c</w:t>
      </w:r>
      <w:r w:rsidRPr="001B206F">
        <w:rPr>
          <w:rFonts w:ascii="Cambria Math" w:hAnsi="Cambria Math" w:cs="Cambria Math"/>
          <w:lang w:val="en-GB"/>
        </w:rPr>
        <w:t>⧽</w:t>
      </w:r>
      <w:r w:rsidR="00F26CC1" w:rsidRPr="00F26CC1">
        <w:rPr>
          <w:lang w:val="en-GB"/>
        </w:rPr>
        <w:t xml:space="preserve">. </w:t>
      </w:r>
      <w:r w:rsidR="00C71B40" w:rsidRPr="00C71B40">
        <w:rPr>
          <w:lang w:val="en-GB"/>
        </w:rPr>
        <w:t xml:space="preserve">These three categories of hazardous substances align with the Globally Harmonized System (GHS) of classification and labelling of chemicals (United Nations, 2023), which is used by Directive 2012/18/EU. </w:t>
      </w:r>
      <w:r w:rsidR="00661985">
        <w:rPr>
          <w:lang w:val="en-GB"/>
        </w:rPr>
        <w:t>T</w:t>
      </w:r>
      <w:r w:rsidR="00661985" w:rsidRPr="00F26CC1">
        <w:rPr>
          <w:lang w:val="en-GB"/>
        </w:rPr>
        <w:t>he</w:t>
      </w:r>
      <w:r w:rsidR="00661985">
        <w:rPr>
          <w:lang w:val="en-GB"/>
        </w:rPr>
        <w:t>se classifications a</w:t>
      </w:r>
      <w:r w:rsidR="00DE614D">
        <w:rPr>
          <w:lang w:val="en-GB"/>
        </w:rPr>
        <w:t>re directly related</w:t>
      </w:r>
      <w:r w:rsidR="00661985">
        <w:rPr>
          <w:lang w:val="en-GB"/>
        </w:rPr>
        <w:t xml:space="preserve"> with the</w:t>
      </w:r>
      <w:r w:rsidR="00661985" w:rsidRPr="00F26CC1">
        <w:rPr>
          <w:lang w:val="en-GB"/>
        </w:rPr>
        <w:t xml:space="preserve"> potential scenarios that the adopted categories can </w:t>
      </w:r>
      <w:r w:rsidR="00661985">
        <w:rPr>
          <w:lang w:val="en-GB"/>
        </w:rPr>
        <w:t xml:space="preserve">generate </w:t>
      </w:r>
      <w:r w:rsidR="00661985" w:rsidRPr="00F26CC1">
        <w:rPr>
          <w:lang w:val="en-GB"/>
        </w:rPr>
        <w:t>(toxic, energetic, spills).</w:t>
      </w:r>
      <w:r w:rsidR="00DE614D" w:rsidRPr="00DE614D">
        <w:rPr>
          <w:lang w:val="en-GB"/>
        </w:rPr>
        <w:t xml:space="preserve"> </w:t>
      </w:r>
    </w:p>
    <w:p w14:paraId="6A837E5F" w14:textId="6E8A3587" w:rsidR="00DE614D" w:rsidRPr="00F26CC1" w:rsidRDefault="00DE614D" w:rsidP="00DE614D">
      <w:pPr>
        <w:pStyle w:val="CETBodytext"/>
        <w:rPr>
          <w:lang w:val="en-GB"/>
        </w:rPr>
      </w:pPr>
      <w:r w:rsidRPr="00F26CC1">
        <w:rPr>
          <w:lang w:val="en-GB"/>
        </w:rPr>
        <w:t>For instance, the C</w:t>
      </w:r>
      <w:r w:rsidRPr="001D7C0E">
        <w:rPr>
          <w:vertAlign w:val="subscript"/>
          <w:lang w:val="en-GB"/>
        </w:rPr>
        <w:t>a</w:t>
      </w:r>
      <w:r w:rsidRPr="00F26CC1">
        <w:rPr>
          <w:lang w:val="en-GB"/>
        </w:rPr>
        <w:t xml:space="preserve"> dimension may cluster events such as the Seveso dioxin disaster</w:t>
      </w:r>
      <w:r>
        <w:rPr>
          <w:lang w:val="en-GB"/>
        </w:rPr>
        <w:t xml:space="preserve"> in 1976</w:t>
      </w:r>
      <w:r w:rsidRPr="00F26CC1">
        <w:rPr>
          <w:lang w:val="en-GB"/>
        </w:rPr>
        <w:t>, the Manfredonia arsenic dispersion</w:t>
      </w:r>
      <w:r>
        <w:rPr>
          <w:lang w:val="en-GB"/>
        </w:rPr>
        <w:t xml:space="preserve"> in 1976</w:t>
      </w:r>
      <w:r w:rsidRPr="00F26CC1">
        <w:rPr>
          <w:lang w:val="en-GB"/>
        </w:rPr>
        <w:t>, or the Lubrizol black smoke accident</w:t>
      </w:r>
      <w:r>
        <w:rPr>
          <w:lang w:val="en-GB"/>
        </w:rPr>
        <w:t xml:space="preserve"> in 2019</w:t>
      </w:r>
      <w:r w:rsidRPr="00F26CC1">
        <w:rPr>
          <w:lang w:val="en-GB"/>
        </w:rPr>
        <w:t xml:space="preserve">, all of them with a huge territorial extension of their toxic scenarios and high severity to human health. Moreover, the </w:t>
      </w:r>
      <w:r w:rsidRPr="00C74BC4">
        <w:rPr>
          <w:i/>
          <w:iCs/>
          <w:lang w:val="en-GB"/>
        </w:rPr>
        <w:t>C</w:t>
      </w:r>
      <w:r w:rsidRPr="00C74BC4">
        <w:rPr>
          <w:i/>
          <w:iCs/>
          <w:vertAlign w:val="subscript"/>
          <w:lang w:val="en-GB"/>
        </w:rPr>
        <w:t>b</w:t>
      </w:r>
      <w:r w:rsidRPr="00F26CC1">
        <w:rPr>
          <w:lang w:val="en-GB"/>
        </w:rPr>
        <w:t xml:space="preserve"> dimension may include energetic scenarios (fires, explosions) with devasting consequences for both infrastructure and people in the damaged and neighbouring zone. Examples within this category </w:t>
      </w:r>
      <w:r>
        <w:rPr>
          <w:lang w:val="en-GB"/>
        </w:rPr>
        <w:t xml:space="preserve">match with those disasters that occurred </w:t>
      </w:r>
      <w:r w:rsidR="00172022">
        <w:rPr>
          <w:lang w:val="en-GB"/>
        </w:rPr>
        <w:t>at</w:t>
      </w:r>
      <w:r w:rsidRPr="00F26CC1">
        <w:rPr>
          <w:lang w:val="en-GB"/>
        </w:rPr>
        <w:t xml:space="preserve"> Feyzin</w:t>
      </w:r>
      <w:r>
        <w:rPr>
          <w:lang w:val="en-GB"/>
        </w:rPr>
        <w:t xml:space="preserve"> </w:t>
      </w:r>
      <w:r w:rsidR="00172022">
        <w:rPr>
          <w:lang w:val="en-GB"/>
        </w:rPr>
        <w:t xml:space="preserve">in </w:t>
      </w:r>
      <w:r>
        <w:rPr>
          <w:lang w:val="en-GB"/>
        </w:rPr>
        <w:t>1966</w:t>
      </w:r>
      <w:r w:rsidRPr="00F26CC1">
        <w:rPr>
          <w:lang w:val="en-GB"/>
        </w:rPr>
        <w:t>, Flixborough</w:t>
      </w:r>
      <w:r>
        <w:rPr>
          <w:lang w:val="en-GB"/>
        </w:rPr>
        <w:t xml:space="preserve"> </w:t>
      </w:r>
      <w:r w:rsidR="00172022">
        <w:rPr>
          <w:lang w:val="en-GB"/>
        </w:rPr>
        <w:t xml:space="preserve">in </w:t>
      </w:r>
      <w:r>
        <w:rPr>
          <w:lang w:val="en-GB"/>
        </w:rPr>
        <w:t>1974</w:t>
      </w:r>
      <w:r w:rsidRPr="00F26CC1">
        <w:rPr>
          <w:lang w:val="en-GB"/>
        </w:rPr>
        <w:t>, Dutch State Mines</w:t>
      </w:r>
      <w:r>
        <w:rPr>
          <w:lang w:val="en-GB"/>
        </w:rPr>
        <w:t xml:space="preserve"> </w:t>
      </w:r>
      <w:r w:rsidR="00172022">
        <w:rPr>
          <w:lang w:val="en-GB"/>
        </w:rPr>
        <w:t xml:space="preserve">in </w:t>
      </w:r>
      <w:r>
        <w:rPr>
          <w:lang w:val="en-GB"/>
        </w:rPr>
        <w:t>1975</w:t>
      </w:r>
      <w:r w:rsidRPr="00F26CC1">
        <w:rPr>
          <w:lang w:val="en-GB"/>
        </w:rPr>
        <w:t>, Piper Alpha</w:t>
      </w:r>
      <w:r>
        <w:rPr>
          <w:lang w:val="en-GB"/>
        </w:rPr>
        <w:t xml:space="preserve"> </w:t>
      </w:r>
      <w:r w:rsidR="00172022">
        <w:rPr>
          <w:lang w:val="en-GB"/>
        </w:rPr>
        <w:t xml:space="preserve">in </w:t>
      </w:r>
      <w:r>
        <w:rPr>
          <w:lang w:val="en-GB"/>
        </w:rPr>
        <w:t>1988</w:t>
      </w:r>
      <w:r w:rsidRPr="00F26CC1">
        <w:rPr>
          <w:lang w:val="en-GB"/>
        </w:rPr>
        <w:t>, Enschede</w:t>
      </w:r>
      <w:r>
        <w:rPr>
          <w:lang w:val="en-GB"/>
        </w:rPr>
        <w:t xml:space="preserve"> </w:t>
      </w:r>
      <w:r w:rsidR="00172022">
        <w:rPr>
          <w:lang w:val="en-GB"/>
        </w:rPr>
        <w:t xml:space="preserve">in </w:t>
      </w:r>
      <w:r>
        <w:rPr>
          <w:lang w:val="en-GB"/>
        </w:rPr>
        <w:t>2000</w:t>
      </w:r>
      <w:r w:rsidRPr="00F26CC1">
        <w:rPr>
          <w:lang w:val="en-GB"/>
        </w:rPr>
        <w:t>, Toulouse</w:t>
      </w:r>
      <w:r>
        <w:rPr>
          <w:lang w:val="en-GB"/>
        </w:rPr>
        <w:t xml:space="preserve"> </w:t>
      </w:r>
      <w:r w:rsidR="00172022">
        <w:rPr>
          <w:lang w:val="en-GB"/>
        </w:rPr>
        <w:t xml:space="preserve">in </w:t>
      </w:r>
      <w:r>
        <w:rPr>
          <w:lang w:val="en-GB"/>
        </w:rPr>
        <w:t>2001</w:t>
      </w:r>
      <w:r w:rsidRPr="00F26CC1">
        <w:rPr>
          <w:lang w:val="en-GB"/>
        </w:rPr>
        <w:t>, and Buncefield</w:t>
      </w:r>
      <w:r>
        <w:rPr>
          <w:lang w:val="en-GB"/>
        </w:rPr>
        <w:t xml:space="preserve"> </w:t>
      </w:r>
      <w:r w:rsidR="00172022">
        <w:rPr>
          <w:lang w:val="en-GB"/>
        </w:rPr>
        <w:t xml:space="preserve">in </w:t>
      </w:r>
      <w:r>
        <w:rPr>
          <w:lang w:val="en-GB"/>
        </w:rPr>
        <w:t>2005</w:t>
      </w:r>
      <w:r w:rsidRPr="00F26CC1">
        <w:rPr>
          <w:lang w:val="en-GB"/>
        </w:rPr>
        <w:t>. Finally, the C</w:t>
      </w:r>
      <w:r w:rsidRPr="00CC45B0">
        <w:rPr>
          <w:vertAlign w:val="subscript"/>
          <w:lang w:val="en-GB"/>
        </w:rPr>
        <w:t>c</w:t>
      </w:r>
      <w:r w:rsidRPr="00F26CC1">
        <w:rPr>
          <w:lang w:val="en-GB"/>
        </w:rPr>
        <w:t xml:space="preserve"> dimension comprises scenarios like the Sandoz chemical spill</w:t>
      </w:r>
      <w:r>
        <w:rPr>
          <w:lang w:val="en-GB"/>
        </w:rPr>
        <w:t xml:space="preserve"> in 1986</w:t>
      </w:r>
      <w:r w:rsidRPr="00F26CC1">
        <w:rPr>
          <w:lang w:val="en-GB"/>
        </w:rPr>
        <w:t>, the dike breakage of Aznalcollar</w:t>
      </w:r>
      <w:r>
        <w:rPr>
          <w:lang w:val="en-GB"/>
        </w:rPr>
        <w:t xml:space="preserve"> in 1998</w:t>
      </w:r>
      <w:r w:rsidRPr="00F26CC1">
        <w:rPr>
          <w:lang w:val="en-GB"/>
        </w:rPr>
        <w:t>, the Baia Mare mining accidents</w:t>
      </w:r>
      <w:r>
        <w:rPr>
          <w:lang w:val="en-GB"/>
        </w:rPr>
        <w:t xml:space="preserve"> in 2000</w:t>
      </w:r>
      <w:r w:rsidRPr="00F26CC1">
        <w:rPr>
          <w:lang w:val="en-GB"/>
        </w:rPr>
        <w:t>, and the Kolontár red mud disaster</w:t>
      </w:r>
      <w:r>
        <w:rPr>
          <w:lang w:val="en-GB"/>
        </w:rPr>
        <w:t xml:space="preserve"> in 2010</w:t>
      </w:r>
      <w:r w:rsidRPr="00F26CC1">
        <w:rPr>
          <w:lang w:val="en-GB"/>
        </w:rPr>
        <w:t>, all of them with very long territorial range of their impacts on the environment.</w:t>
      </w:r>
    </w:p>
    <w:p w14:paraId="0803CA18" w14:textId="3EDAE4BF" w:rsidR="00021A07" w:rsidRDefault="00F63CE0" w:rsidP="00021A07">
      <w:pPr>
        <w:pStyle w:val="CETBodytext"/>
        <w:rPr>
          <w:lang w:val="en-GB"/>
        </w:rPr>
      </w:pPr>
      <w:r>
        <w:rPr>
          <w:lang w:val="en-GB"/>
        </w:rPr>
        <w:t>For accurate classifications, t</w:t>
      </w:r>
      <w:r w:rsidR="00C71B40" w:rsidRPr="00C71B40">
        <w:rPr>
          <w:lang w:val="en-GB"/>
        </w:rPr>
        <w:t xml:space="preserve">he </w:t>
      </w:r>
      <w:r w:rsidR="00DE614D">
        <w:rPr>
          <w:lang w:val="en-GB"/>
        </w:rPr>
        <w:t>Seveso III D</w:t>
      </w:r>
      <w:r w:rsidR="00C71B40" w:rsidRPr="00C71B40">
        <w:rPr>
          <w:lang w:val="en-GB"/>
        </w:rPr>
        <w:t xml:space="preserve">irective provides clear rules </w:t>
      </w:r>
      <w:r w:rsidRPr="00C71B40">
        <w:rPr>
          <w:lang w:val="en-GB"/>
        </w:rPr>
        <w:t>as outlined in Note 4, Note 5, and Note 6 of Annex I</w:t>
      </w:r>
      <w:r w:rsidR="00172022">
        <w:rPr>
          <w:lang w:val="en-GB"/>
        </w:rPr>
        <w:t>, which</w:t>
      </w:r>
      <w:r w:rsidRPr="00C71B40">
        <w:rPr>
          <w:lang w:val="en-GB"/>
        </w:rPr>
        <w:t xml:space="preserve"> </w:t>
      </w:r>
      <w:r w:rsidR="00C71B40" w:rsidRPr="00C71B40">
        <w:rPr>
          <w:lang w:val="en-GB"/>
        </w:rPr>
        <w:t>can also be applied to non-Seveso facilities.</w:t>
      </w:r>
      <w:r w:rsidR="00021A07" w:rsidRPr="00021A07">
        <w:rPr>
          <w:lang w:val="en-GB"/>
        </w:rPr>
        <w:t xml:space="preserve"> </w:t>
      </w:r>
      <w:r w:rsidR="00021A07" w:rsidRPr="00F26CC1">
        <w:rPr>
          <w:lang w:val="en-GB"/>
        </w:rPr>
        <w:t xml:space="preserve">In brief, this note states that the hazardous substances (including wastes), potentially located in an establishment, shall be provisionally assimilated into </w:t>
      </w:r>
      <w:r w:rsidR="00021A07" w:rsidRPr="00F26CC1">
        <w:rPr>
          <w:lang w:val="en-GB"/>
        </w:rPr>
        <w:lastRenderedPageBreak/>
        <w:t>the most similar dangerous category or substance listed in Annex I 2012/18/EU. Therefore, if other substances are present, they must be considered in one of the three</w:t>
      </w:r>
      <w:r w:rsidR="00021A07" w:rsidRPr="007E00E1">
        <w:rPr>
          <w:lang w:val="en-GB"/>
        </w:rPr>
        <w:t xml:space="preserve"> </w:t>
      </w:r>
      <w:r w:rsidR="007E00E1">
        <w:rPr>
          <w:lang w:val="en-GB"/>
        </w:rPr>
        <w:t>“</w:t>
      </w:r>
      <w:r w:rsidR="007E00E1" w:rsidRPr="00136E3F">
        <w:rPr>
          <w:i/>
          <w:iCs/>
          <w:lang w:val="en-GB"/>
        </w:rPr>
        <w:t>C</w:t>
      </w:r>
      <w:r w:rsidR="00021A07" w:rsidRPr="007E00E1">
        <w:rPr>
          <w:i/>
          <w:iCs/>
          <w:vertAlign w:val="subscript"/>
          <w:lang w:val="en-GB"/>
        </w:rPr>
        <w:t>s</w:t>
      </w:r>
      <w:r w:rsidR="007E00E1">
        <w:rPr>
          <w:i/>
          <w:iCs/>
          <w:lang w:val="en-GB"/>
        </w:rPr>
        <w:t>”</w:t>
      </w:r>
      <w:r w:rsidR="00021A07" w:rsidRPr="007E00E1">
        <w:rPr>
          <w:lang w:val="en-GB"/>
        </w:rPr>
        <w:t xml:space="preserve"> </w:t>
      </w:r>
      <w:r w:rsidR="007E00E1">
        <w:rPr>
          <w:lang w:val="en-GB"/>
        </w:rPr>
        <w:t>categories</w:t>
      </w:r>
      <w:r w:rsidR="00021A07" w:rsidRPr="00F26CC1">
        <w:rPr>
          <w:lang w:val="en-GB"/>
        </w:rPr>
        <w:t>.</w:t>
      </w:r>
    </w:p>
    <w:p w14:paraId="21074593" w14:textId="5F69762C" w:rsidR="00E14FB6" w:rsidRPr="00F26CC1" w:rsidRDefault="00E14FB6" w:rsidP="00021A07">
      <w:pPr>
        <w:pStyle w:val="CETBodytext"/>
        <w:rPr>
          <w:lang w:val="en-GB"/>
        </w:rPr>
      </w:pPr>
      <w:r w:rsidRPr="00FC58B6">
        <w:rPr>
          <w:lang w:val="en-GB"/>
        </w:rPr>
        <w:t xml:space="preserve">A current limitation of the Seveso framework is the exclusion of potential synergies or interactions between substances in storage (Jain et al., 2017). Since this research is a first attempt to measure the major accident potential of both Seveso and non-Seveso facilities, the synergy between substances is beyond </w:t>
      </w:r>
      <w:r w:rsidR="00EB7585" w:rsidRPr="00FC58B6">
        <w:rPr>
          <w:lang w:val="en-GB"/>
        </w:rPr>
        <w:t>the</w:t>
      </w:r>
      <w:r w:rsidRPr="00FC58B6">
        <w:rPr>
          <w:lang w:val="en-GB"/>
        </w:rPr>
        <w:t xml:space="preserve"> scope. However, it represents an opportunity for enhancement in future work.</w:t>
      </w:r>
    </w:p>
    <w:p w14:paraId="582642C6" w14:textId="1A8AED8E" w:rsidR="00453E24" w:rsidRDefault="00F26CC1" w:rsidP="00F26CC1">
      <w:pPr>
        <w:pStyle w:val="CETBodytext"/>
        <w:rPr>
          <w:lang w:val="en-GB"/>
        </w:rPr>
      </w:pPr>
      <w:r w:rsidRPr="00F26CC1">
        <w:rPr>
          <w:lang w:val="en-GB"/>
        </w:rPr>
        <w:t>Movin</w:t>
      </w:r>
      <w:r w:rsidR="00021A07">
        <w:rPr>
          <w:lang w:val="en-GB"/>
        </w:rPr>
        <w:t>g</w:t>
      </w:r>
      <w:r w:rsidRPr="00F26CC1">
        <w:rPr>
          <w:lang w:val="en-GB"/>
        </w:rPr>
        <w:t xml:space="preserve"> to the </w:t>
      </w:r>
      <w:r w:rsidR="00A12DF9">
        <w:rPr>
          <w:lang w:val="en-GB"/>
        </w:rPr>
        <w:t>quantity</w:t>
      </w:r>
      <w:r w:rsidR="00A12DF9" w:rsidRPr="00F26CC1">
        <w:rPr>
          <w:lang w:val="en-GB"/>
        </w:rPr>
        <w:t xml:space="preserve"> </w:t>
      </w:r>
      <w:r w:rsidRPr="00F26CC1">
        <w:rPr>
          <w:lang w:val="en-GB"/>
        </w:rPr>
        <w:t>of hazardous substances</w:t>
      </w:r>
      <w:r w:rsidR="00827AE5">
        <w:rPr>
          <w:lang w:val="en-GB"/>
        </w:rPr>
        <w:t xml:space="preserve"> stored</w:t>
      </w:r>
      <w:r w:rsidRPr="00F26CC1">
        <w:rPr>
          <w:lang w:val="en-GB"/>
        </w:rPr>
        <w:t xml:space="preserve"> </w:t>
      </w:r>
      <w:r w:rsidR="008721A4">
        <w:rPr>
          <w:lang w:val="en-GB"/>
        </w:rPr>
        <w:t>in each facility</w:t>
      </w:r>
      <w:r w:rsidRPr="00F26CC1">
        <w:rPr>
          <w:lang w:val="en-GB"/>
        </w:rPr>
        <w:t xml:space="preserve">, </w:t>
      </w:r>
      <w:r w:rsidR="00F812E8">
        <w:rPr>
          <w:lang w:val="en-GB"/>
        </w:rPr>
        <w:t>the</w:t>
      </w:r>
      <w:r w:rsidR="00F812E8" w:rsidRPr="00F26CC1">
        <w:rPr>
          <w:lang w:val="en-GB"/>
        </w:rPr>
        <w:t xml:space="preserve"> index of compliance </w:t>
      </w:r>
      <w:r w:rsidR="00F812E8">
        <w:rPr>
          <w:lang w:val="en-GB"/>
        </w:rPr>
        <w:t>is used</w:t>
      </w:r>
      <w:r w:rsidR="003E5811">
        <w:rPr>
          <w:lang w:val="en-GB"/>
        </w:rPr>
        <w:t xml:space="preserve"> to </w:t>
      </w:r>
      <w:r w:rsidRPr="00F26CC1">
        <w:rPr>
          <w:lang w:val="en-GB"/>
        </w:rPr>
        <w:t xml:space="preserve">calculate the ratio between the </w:t>
      </w:r>
      <w:r w:rsidR="004829CC">
        <w:rPr>
          <w:lang w:val="en-GB"/>
        </w:rPr>
        <w:t>amount</w:t>
      </w:r>
      <w:r w:rsidRPr="00F26CC1">
        <w:rPr>
          <w:lang w:val="en-GB"/>
        </w:rPr>
        <w:t xml:space="preserve"> of hazardous substances stored and the </w:t>
      </w:r>
      <w:r w:rsidR="003E5811">
        <w:rPr>
          <w:lang w:val="en-GB"/>
        </w:rPr>
        <w:t xml:space="preserve">corresponding </w:t>
      </w:r>
      <w:r w:rsidRPr="00F26CC1">
        <w:rPr>
          <w:lang w:val="en-GB"/>
        </w:rPr>
        <w:t xml:space="preserve">threshold for each specific substance, within each </w:t>
      </w:r>
      <w:r w:rsidRPr="001F79AA">
        <w:rPr>
          <w:i/>
          <w:iCs/>
          <w:lang w:val="en-GB"/>
        </w:rPr>
        <w:t>C</w:t>
      </w:r>
      <w:r w:rsidRPr="001F79AA">
        <w:rPr>
          <w:i/>
          <w:iCs/>
          <w:vertAlign w:val="subscript"/>
          <w:lang w:val="en-GB"/>
        </w:rPr>
        <w:t>s</w:t>
      </w:r>
      <w:r w:rsidRPr="00F26CC1">
        <w:rPr>
          <w:lang w:val="en-GB"/>
        </w:rPr>
        <w:t xml:space="preserve"> </w:t>
      </w:r>
      <w:r w:rsidR="00F1678D">
        <w:rPr>
          <w:lang w:val="en-GB"/>
        </w:rPr>
        <w:t xml:space="preserve">category </w:t>
      </w:r>
      <w:r w:rsidRPr="00F26CC1">
        <w:rPr>
          <w:lang w:val="en-GB"/>
        </w:rPr>
        <w:t>in line with Note 4 Annex I, of the 2012/18/EU Directive.</w:t>
      </w:r>
    </w:p>
    <w:tbl>
      <w:tblPr>
        <w:tblW w:w="5000" w:type="pct"/>
        <w:tblLook w:val="04A0" w:firstRow="1" w:lastRow="0" w:firstColumn="1" w:lastColumn="0" w:noHBand="0" w:noVBand="1"/>
      </w:tblPr>
      <w:tblGrid>
        <w:gridCol w:w="7984"/>
        <w:gridCol w:w="803"/>
      </w:tblGrid>
      <w:tr w:rsidR="00D2432E" w:rsidRPr="00B57B36" w14:paraId="3D293492" w14:textId="77777777" w:rsidTr="00BA4F8F">
        <w:tc>
          <w:tcPr>
            <w:tcW w:w="7984" w:type="dxa"/>
            <w:shd w:val="clear" w:color="auto" w:fill="auto"/>
            <w:vAlign w:val="center"/>
          </w:tcPr>
          <w:p w14:paraId="0B7631A0" w14:textId="28F8FFF2" w:rsidR="00D2432E" w:rsidRPr="00B57B36" w:rsidRDefault="007E7D8F" w:rsidP="00C3219E">
            <w:pPr>
              <w:pStyle w:val="CETEquation"/>
            </w:pPr>
            <w:r w:rsidRPr="007E7D8F">
              <w:rPr>
                <w:noProof/>
              </w:rPr>
              <w:drawing>
                <wp:inline distT="0" distB="0" distL="0" distR="0" wp14:anchorId="5644660D" wp14:editId="34DD4DA8">
                  <wp:extent cx="923067" cy="436525"/>
                  <wp:effectExtent l="0" t="0" r="0" b="1905"/>
                  <wp:docPr id="16222624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262444" name=""/>
                          <pic:cNvPicPr/>
                        </pic:nvPicPr>
                        <pic:blipFill>
                          <a:blip r:embed="rId11"/>
                          <a:stretch>
                            <a:fillRect/>
                          </a:stretch>
                        </pic:blipFill>
                        <pic:spPr>
                          <a:xfrm>
                            <a:off x="0" y="0"/>
                            <a:ext cx="983168" cy="464947"/>
                          </a:xfrm>
                          <a:prstGeom prst="rect">
                            <a:avLst/>
                          </a:prstGeom>
                        </pic:spPr>
                      </pic:pic>
                    </a:graphicData>
                  </a:graphic>
                </wp:inline>
              </w:drawing>
            </w:r>
          </w:p>
        </w:tc>
        <w:tc>
          <w:tcPr>
            <w:tcW w:w="803" w:type="dxa"/>
            <w:shd w:val="clear" w:color="auto" w:fill="auto"/>
            <w:vAlign w:val="center"/>
          </w:tcPr>
          <w:p w14:paraId="505A8EE8" w14:textId="77777777" w:rsidR="00D2432E" w:rsidRPr="00B57B36" w:rsidRDefault="00D2432E" w:rsidP="00C3219E">
            <w:pPr>
              <w:pStyle w:val="CETEquation"/>
              <w:jc w:val="right"/>
            </w:pPr>
            <w:r w:rsidRPr="00B57B36">
              <w:t>(1)</w:t>
            </w:r>
          </w:p>
        </w:tc>
      </w:tr>
    </w:tbl>
    <w:p w14:paraId="62AB2397" w14:textId="77777777" w:rsidR="00BA4F8F" w:rsidRPr="00BA4F8F" w:rsidRDefault="00BA4F8F" w:rsidP="005A2324">
      <w:pPr>
        <w:pStyle w:val="CETBodytext"/>
        <w:ind w:left="180"/>
        <w:rPr>
          <w:lang w:val="en-GB"/>
        </w:rPr>
      </w:pPr>
      <w:bookmarkStart w:id="3" w:name="_Hlk177144556"/>
      <w:r w:rsidRPr="00BA4F8F">
        <w:rPr>
          <w:lang w:val="en-GB"/>
        </w:rPr>
        <w:t>where,</w:t>
      </w:r>
    </w:p>
    <w:bookmarkEnd w:id="3"/>
    <w:p w14:paraId="5A81519D" w14:textId="35283EB2" w:rsidR="00BA4F8F" w:rsidRPr="00BA4F8F" w:rsidRDefault="00BA4F8F" w:rsidP="00AC2773">
      <w:pPr>
        <w:pStyle w:val="CETBodytext"/>
        <w:ind w:left="360" w:hanging="180"/>
        <w:rPr>
          <w:lang w:val="en-GB"/>
        </w:rPr>
      </w:pPr>
      <w:r w:rsidRPr="001F79AA">
        <w:rPr>
          <w:i/>
          <w:iCs/>
          <w:lang w:val="en-GB"/>
        </w:rPr>
        <w:t>Q</w:t>
      </w:r>
      <w:r w:rsidRPr="001F79AA">
        <w:rPr>
          <w:i/>
          <w:iCs/>
          <w:vertAlign w:val="subscript"/>
          <w:lang w:val="en-GB"/>
        </w:rPr>
        <w:t>Cs</w:t>
      </w:r>
      <w:r w:rsidRPr="00BA4F8F">
        <w:rPr>
          <w:lang w:val="en-GB"/>
        </w:rPr>
        <w:t>: i</w:t>
      </w:r>
      <w:r w:rsidR="00E95198">
        <w:rPr>
          <w:lang w:val="en-GB"/>
        </w:rPr>
        <w:t>s</w:t>
      </w:r>
      <w:r w:rsidRPr="00BA4F8F">
        <w:rPr>
          <w:lang w:val="en-GB"/>
        </w:rPr>
        <w:t xml:space="preserve"> the total index of compliance for the addition of sub-categories of dangerous substances within each</w:t>
      </w:r>
      <w:r w:rsidR="00625005">
        <w:rPr>
          <w:lang w:val="en-GB"/>
        </w:rPr>
        <w:t xml:space="preserve"> of the three</w:t>
      </w:r>
      <w:r w:rsidRPr="00BA4F8F">
        <w:rPr>
          <w:lang w:val="en-GB"/>
        </w:rPr>
        <w:t xml:space="preserve"> </w:t>
      </w:r>
      <w:r w:rsidRPr="00136E3F">
        <w:rPr>
          <w:i/>
          <w:iCs/>
          <w:lang w:val="en-GB"/>
        </w:rPr>
        <w:t>C</w:t>
      </w:r>
      <w:r w:rsidRPr="00136E3F">
        <w:rPr>
          <w:i/>
          <w:iCs/>
          <w:vertAlign w:val="subscript"/>
          <w:lang w:val="en-GB"/>
        </w:rPr>
        <w:t>s</w:t>
      </w:r>
      <w:r w:rsidRPr="00BA4F8F">
        <w:rPr>
          <w:lang w:val="en-GB"/>
        </w:rPr>
        <w:t xml:space="preserve"> </w:t>
      </w:r>
      <w:r w:rsidR="00AE5324">
        <w:rPr>
          <w:lang w:val="en-GB"/>
        </w:rPr>
        <w:t>categor</w:t>
      </w:r>
      <w:r w:rsidR="00625005">
        <w:rPr>
          <w:lang w:val="en-GB"/>
        </w:rPr>
        <w:t>ies</w:t>
      </w:r>
      <w:r w:rsidRPr="00BA4F8F">
        <w:rPr>
          <w:lang w:val="en-GB"/>
        </w:rPr>
        <w:t>.</w:t>
      </w:r>
    </w:p>
    <w:p w14:paraId="2E24D43F" w14:textId="4C209036" w:rsidR="00BA4F8F" w:rsidRPr="00BA4F8F" w:rsidRDefault="00BA4F8F" w:rsidP="00AC2773">
      <w:pPr>
        <w:pStyle w:val="CETBodytext"/>
        <w:ind w:left="360" w:hanging="180"/>
        <w:rPr>
          <w:lang w:val="en-GB"/>
        </w:rPr>
      </w:pPr>
      <w:r w:rsidRPr="001F79AA">
        <w:rPr>
          <w:i/>
          <w:iCs/>
          <w:lang w:val="en-GB"/>
        </w:rPr>
        <w:t>x</w:t>
      </w:r>
      <w:r w:rsidRPr="00BA4F8F">
        <w:rPr>
          <w:lang w:val="en-GB"/>
        </w:rPr>
        <w:t xml:space="preserve">: consist of an alphanumeric code to design any different entry within each subcategory in Column 1 of Part 1 or Part 2 of Annex I of 2012/18/EU Directive. </w:t>
      </w:r>
    </w:p>
    <w:p w14:paraId="55EF310E" w14:textId="77777777" w:rsidR="00BA4F8F" w:rsidRPr="00BA4F8F" w:rsidRDefault="00BA4F8F" w:rsidP="00AC2773">
      <w:pPr>
        <w:pStyle w:val="CETBodytext"/>
        <w:ind w:left="360" w:hanging="180"/>
        <w:rPr>
          <w:lang w:val="en-GB"/>
        </w:rPr>
      </w:pPr>
      <w:r w:rsidRPr="001F79AA">
        <w:rPr>
          <w:i/>
          <w:iCs/>
          <w:lang w:val="en-GB"/>
        </w:rPr>
        <w:t>n</w:t>
      </w:r>
      <w:r w:rsidRPr="00BA4F8F">
        <w:rPr>
          <w:lang w:val="en-GB"/>
        </w:rPr>
        <w:t>: refers to the maximum number of “</w:t>
      </w:r>
      <w:r w:rsidRPr="00826807">
        <w:rPr>
          <w:i/>
          <w:iCs/>
          <w:lang w:val="en-GB"/>
        </w:rPr>
        <w:t>x</w:t>
      </w:r>
      <w:r w:rsidRPr="00BA4F8F">
        <w:rPr>
          <w:lang w:val="en-GB"/>
        </w:rPr>
        <w:t>” substances held in any subcategory.</w:t>
      </w:r>
    </w:p>
    <w:p w14:paraId="5439BA74" w14:textId="6603F0A0" w:rsidR="00BA4F8F" w:rsidRPr="00BA4F8F" w:rsidRDefault="00BA4F8F" w:rsidP="00AC2773">
      <w:pPr>
        <w:pStyle w:val="CETBodytext"/>
        <w:ind w:left="360" w:hanging="180"/>
        <w:rPr>
          <w:lang w:val="en-GB"/>
        </w:rPr>
      </w:pPr>
      <w:r w:rsidRPr="001F79AA">
        <w:rPr>
          <w:lang w:val="en-GB"/>
        </w:rPr>
        <w:t>q</w:t>
      </w:r>
      <w:r w:rsidRPr="001F79AA">
        <w:rPr>
          <w:vertAlign w:val="subscript"/>
          <w:lang w:val="en-GB"/>
        </w:rPr>
        <w:t>x(</w:t>
      </w:r>
      <w:r w:rsidRPr="001F79AA">
        <w:rPr>
          <w:i/>
          <w:iCs/>
          <w:vertAlign w:val="subscript"/>
          <w:lang w:val="en-GB"/>
        </w:rPr>
        <w:t>s</w:t>
      </w:r>
      <w:r w:rsidRPr="001F79AA">
        <w:rPr>
          <w:vertAlign w:val="subscript"/>
          <w:lang w:val="en-GB"/>
        </w:rPr>
        <w:t>)</w:t>
      </w:r>
      <w:r w:rsidRPr="00BA4F8F">
        <w:rPr>
          <w:lang w:val="en-GB"/>
        </w:rPr>
        <w:t xml:space="preserve">: is the amount of hazardous substance </w:t>
      </w:r>
      <w:r w:rsidR="00826807">
        <w:rPr>
          <w:lang w:val="en-GB"/>
        </w:rPr>
        <w:t>“</w:t>
      </w:r>
      <w:r w:rsidRPr="00826807">
        <w:rPr>
          <w:i/>
          <w:iCs/>
          <w:lang w:val="en-GB"/>
        </w:rPr>
        <w:t>x</w:t>
      </w:r>
      <w:r w:rsidR="00826807">
        <w:rPr>
          <w:lang w:val="en-GB"/>
        </w:rPr>
        <w:t>”</w:t>
      </w:r>
      <w:r w:rsidRPr="00BA4F8F">
        <w:rPr>
          <w:lang w:val="en-GB"/>
        </w:rPr>
        <w:t xml:space="preserve"> stored in the plant. The categories of substances are in correspondence with the list of substances present in Column 1 of Part 1 or Part 2 of Annex I of 2012/18/EU for substances classified in each C</w:t>
      </w:r>
      <w:r w:rsidRPr="00206A18">
        <w:rPr>
          <w:vertAlign w:val="subscript"/>
          <w:lang w:val="en-GB"/>
        </w:rPr>
        <w:t>s</w:t>
      </w:r>
      <w:r w:rsidRPr="00BA4F8F">
        <w:rPr>
          <w:lang w:val="en-GB"/>
        </w:rPr>
        <w:t xml:space="preserve"> category.</w:t>
      </w:r>
    </w:p>
    <w:p w14:paraId="36A24D24" w14:textId="5CEBC9C3" w:rsidR="00D2432E" w:rsidRDefault="00BA4F8F" w:rsidP="00AC2773">
      <w:pPr>
        <w:pStyle w:val="CETBodytext"/>
        <w:ind w:left="360" w:hanging="180"/>
        <w:rPr>
          <w:lang w:val="en-GB"/>
        </w:rPr>
      </w:pPr>
      <w:r w:rsidRPr="001F79AA">
        <w:rPr>
          <w:i/>
          <w:iCs/>
          <w:lang w:val="en-GB"/>
        </w:rPr>
        <w:t>Q</w:t>
      </w:r>
      <w:r w:rsidRPr="001F79AA">
        <w:rPr>
          <w:i/>
          <w:iCs/>
          <w:vertAlign w:val="subscript"/>
          <w:lang w:val="en-GB"/>
        </w:rPr>
        <w:t>Ux</w:t>
      </w:r>
      <w:r w:rsidRPr="001F79AA">
        <w:rPr>
          <w:vertAlign w:val="subscript"/>
          <w:lang w:val="en-GB"/>
        </w:rPr>
        <w:t>(</w:t>
      </w:r>
      <w:r w:rsidRPr="001F79AA">
        <w:rPr>
          <w:i/>
          <w:iCs/>
          <w:vertAlign w:val="subscript"/>
          <w:lang w:val="en-GB"/>
        </w:rPr>
        <w:t>s</w:t>
      </w:r>
      <w:r w:rsidRPr="001F79AA">
        <w:rPr>
          <w:vertAlign w:val="subscript"/>
          <w:lang w:val="en-GB"/>
        </w:rPr>
        <w:t>)</w:t>
      </w:r>
      <w:r w:rsidRPr="00BA4F8F">
        <w:rPr>
          <w:lang w:val="en-GB"/>
        </w:rPr>
        <w:t>: is the corresponding upper threshold amount (UTE) for any “</w:t>
      </w:r>
      <w:r w:rsidRPr="00702966">
        <w:rPr>
          <w:i/>
          <w:iCs/>
          <w:lang w:val="en-GB"/>
        </w:rPr>
        <w:t>x</w:t>
      </w:r>
      <w:r w:rsidRPr="00BA4F8F">
        <w:rPr>
          <w:lang w:val="en-GB"/>
        </w:rPr>
        <w:t>” that is given in Column 3 of Part 1 or Column 3 of Part 2 of Annex I of 2012/18/EU.</w:t>
      </w:r>
    </w:p>
    <w:p w14:paraId="090AFA39" w14:textId="0BCCB662" w:rsidR="005A2324" w:rsidRDefault="005A2324" w:rsidP="005A2324">
      <w:pPr>
        <w:pStyle w:val="CETBodytext"/>
      </w:pPr>
      <w:r>
        <w:t>The “</w:t>
      </w:r>
      <w:r w:rsidRPr="00177CB4">
        <w:rPr>
          <w:i/>
          <w:iCs/>
        </w:rPr>
        <w:t>x</w:t>
      </w:r>
      <w:r>
        <w:t xml:space="preserve">” in </w:t>
      </w:r>
      <w:r>
        <w:rPr>
          <w:lang w:val="en-GB"/>
        </w:rPr>
        <w:t>Eq. (1)</w:t>
      </w:r>
      <w:r w:rsidRPr="00F26CC1">
        <w:rPr>
          <w:lang w:val="en-GB"/>
        </w:rPr>
        <w:t xml:space="preserve"> </w:t>
      </w:r>
      <w:r>
        <w:t>can be written in the form “</w:t>
      </w:r>
      <w:r w:rsidRPr="00177CB4">
        <w:rPr>
          <w:i/>
          <w:iCs/>
        </w:rPr>
        <w:t>sc</w:t>
      </w:r>
      <w:r w:rsidR="002B172E">
        <w:rPr>
          <w:i/>
          <w:iCs/>
        </w:rPr>
        <w:t>i</w:t>
      </w:r>
      <w:r>
        <w:t>” (subcategory-kind of subcategory-</w:t>
      </w:r>
      <w:r w:rsidR="008956A0">
        <w:t xml:space="preserve">consecutive </w:t>
      </w:r>
      <w:r>
        <w:t xml:space="preserve">number </w:t>
      </w:r>
      <w:r w:rsidR="008956A0">
        <w:t xml:space="preserve">for </w:t>
      </w:r>
      <w:r>
        <w:t xml:space="preserve">different substances). For example, to differentiate two diverse substances in the dimension </w:t>
      </w:r>
      <w:r w:rsidRPr="004A635B">
        <w:rPr>
          <w:i/>
          <w:iCs/>
        </w:rPr>
        <w:t>C</w:t>
      </w:r>
      <w:r w:rsidRPr="004A635B">
        <w:rPr>
          <w:i/>
          <w:iCs/>
          <w:vertAlign w:val="subscript"/>
        </w:rPr>
        <w:t>b</w:t>
      </w:r>
      <w:r>
        <w:t xml:space="preserve"> (Physical hazards), within the explosive category, sub-categories “</w:t>
      </w:r>
      <w:r w:rsidRPr="0057439C">
        <w:rPr>
          <w:i/>
          <w:iCs/>
        </w:rPr>
        <w:t>b</w:t>
      </w:r>
      <w:r>
        <w:t xml:space="preserve">”, then, </w:t>
      </w:r>
      <w:r w:rsidRPr="002B172E">
        <w:rPr>
          <w:i/>
          <w:iCs/>
        </w:rPr>
        <w:t>C</w:t>
      </w:r>
      <w:r w:rsidRPr="002B172E">
        <w:rPr>
          <w:i/>
          <w:iCs/>
          <w:vertAlign w:val="subscript"/>
        </w:rPr>
        <w:t>b(x)</w:t>
      </w:r>
      <w:r w:rsidRPr="001B206F">
        <w:rPr>
          <w:i/>
          <w:iCs/>
        </w:rPr>
        <w:t>=</w:t>
      </w:r>
      <w:r w:rsidRPr="002B172E">
        <w:rPr>
          <w:i/>
          <w:iCs/>
        </w:rPr>
        <w:t>C</w:t>
      </w:r>
      <w:r w:rsidRPr="002B172E">
        <w:rPr>
          <w:i/>
          <w:iCs/>
          <w:vertAlign w:val="subscript"/>
        </w:rPr>
        <w:t>b(sci)</w:t>
      </w:r>
      <w:r w:rsidRPr="005774D0">
        <w:rPr>
          <w:vertAlign w:val="subscript"/>
        </w:rPr>
        <w:t xml:space="preserve"> </w:t>
      </w:r>
      <w:r>
        <w:t>→</w:t>
      </w:r>
      <w:r w:rsidR="000C5DA1" w:rsidRPr="000C5DA1">
        <w:rPr>
          <w:i/>
          <w:iCs/>
        </w:rPr>
        <w:t>C</w:t>
      </w:r>
      <w:r w:rsidRPr="000C5DA1">
        <w:rPr>
          <w:i/>
          <w:iCs/>
          <w:vertAlign w:val="subscript"/>
        </w:rPr>
        <w:t>P</w:t>
      </w:r>
      <w:r w:rsidRPr="001F79AA">
        <w:rPr>
          <w:vertAlign w:val="subscript"/>
        </w:rPr>
        <w:t>1</w:t>
      </w:r>
      <w:r w:rsidRPr="000C5DA1">
        <w:rPr>
          <w:i/>
          <w:iCs/>
          <w:vertAlign w:val="subscript"/>
        </w:rPr>
        <w:t>b</w:t>
      </w:r>
      <w:r w:rsidRPr="001F79AA">
        <w:rPr>
          <w:vertAlign w:val="subscript"/>
        </w:rPr>
        <w:t>1</w:t>
      </w:r>
      <w:r>
        <w:t xml:space="preserve"> (for the first substance) and </w:t>
      </w:r>
      <w:r w:rsidR="000C5DA1" w:rsidRPr="000C5DA1">
        <w:rPr>
          <w:i/>
          <w:iCs/>
        </w:rPr>
        <w:t>C</w:t>
      </w:r>
      <w:r w:rsidR="000C5DA1" w:rsidRPr="000C5DA1">
        <w:rPr>
          <w:i/>
          <w:iCs/>
          <w:vertAlign w:val="subscript"/>
        </w:rPr>
        <w:t>P</w:t>
      </w:r>
      <w:r w:rsidR="000C5DA1" w:rsidRPr="001F79AA">
        <w:rPr>
          <w:vertAlign w:val="subscript"/>
        </w:rPr>
        <w:t>1</w:t>
      </w:r>
      <w:r w:rsidR="000C5DA1" w:rsidRPr="000C5DA1">
        <w:rPr>
          <w:i/>
          <w:iCs/>
          <w:vertAlign w:val="subscript"/>
        </w:rPr>
        <w:t>b</w:t>
      </w:r>
      <w:r w:rsidR="000C5DA1" w:rsidRPr="001F79AA">
        <w:rPr>
          <w:vertAlign w:val="subscript"/>
        </w:rPr>
        <w:t>2</w:t>
      </w:r>
      <w:r>
        <w:t xml:space="preserve"> (for the second substance). Using this way each substance can be identified in </w:t>
      </w:r>
      <w:r w:rsidR="005A6E1C">
        <w:t>a</w:t>
      </w:r>
      <w:r>
        <w:t xml:space="preserve"> univocal way.</w:t>
      </w:r>
    </w:p>
    <w:p w14:paraId="052E09F8" w14:textId="322F7FB3" w:rsidR="005A2324" w:rsidRDefault="005A2324" w:rsidP="005A2324">
      <w:pPr>
        <w:pStyle w:val="CETBodytext"/>
      </w:pPr>
      <w:r>
        <w:t xml:space="preserve">Moreover, note 6 of Annex I </w:t>
      </w:r>
      <w:r w:rsidR="00EE5610">
        <w:t>of Seveso III</w:t>
      </w:r>
      <w:r>
        <w:t xml:space="preserve"> offers criteria for hazardous substances that, due to their properties, rise to more than one </w:t>
      </w:r>
      <w:r w:rsidRPr="00887AB7">
        <w:rPr>
          <w:i/>
          <w:iCs/>
        </w:rPr>
        <w:t>C</w:t>
      </w:r>
      <w:r w:rsidRPr="00887AB7">
        <w:rPr>
          <w:i/>
          <w:iCs/>
          <w:vertAlign w:val="subscript"/>
        </w:rPr>
        <w:t>s</w:t>
      </w:r>
      <w:r>
        <w:t xml:space="preserve"> classification. For these cases, the lowest threshold quantities (critical) shall be applied for each group of categories (</w:t>
      </w:r>
      <w:r w:rsidRPr="001F79AA">
        <w:rPr>
          <w:i/>
          <w:iCs/>
        </w:rPr>
        <w:t>C</w:t>
      </w:r>
      <w:r w:rsidRPr="001F79AA">
        <w:rPr>
          <w:i/>
          <w:iCs/>
          <w:vertAlign w:val="subscript"/>
        </w:rPr>
        <w:t>a</w:t>
      </w:r>
      <w:r>
        <w:t xml:space="preserve">, </w:t>
      </w:r>
      <w:r w:rsidRPr="001F79AA">
        <w:rPr>
          <w:i/>
          <w:iCs/>
        </w:rPr>
        <w:t>C</w:t>
      </w:r>
      <w:r w:rsidRPr="001F79AA">
        <w:rPr>
          <w:i/>
          <w:iCs/>
          <w:vertAlign w:val="subscript"/>
        </w:rPr>
        <w:t>b</w:t>
      </w:r>
      <w:r>
        <w:t xml:space="preserve">, </w:t>
      </w:r>
      <w:r w:rsidRPr="001F79AA">
        <w:rPr>
          <w:i/>
          <w:iCs/>
        </w:rPr>
        <w:t>C</w:t>
      </w:r>
      <w:r w:rsidRPr="001F79AA">
        <w:rPr>
          <w:i/>
          <w:iCs/>
          <w:vertAlign w:val="subscript"/>
        </w:rPr>
        <w:t>c</w:t>
      </w:r>
      <w:r>
        <w:t>) corresponding to the relevant classifications concerned.</w:t>
      </w:r>
    </w:p>
    <w:p w14:paraId="7E3510BA" w14:textId="22F8A6A2" w:rsidR="00020965" w:rsidRDefault="00F96382" w:rsidP="00E04E3D">
      <w:pPr>
        <w:pStyle w:val="CETBodytext"/>
        <w:rPr>
          <w:i/>
        </w:rPr>
      </w:pPr>
      <w:r>
        <w:rPr>
          <w:lang w:val="en-GB"/>
        </w:rPr>
        <w:t>Eq. (1)</w:t>
      </w:r>
      <w:r w:rsidRPr="00F26CC1">
        <w:rPr>
          <w:lang w:val="en-GB"/>
        </w:rPr>
        <w:t xml:space="preserve"> </w:t>
      </w:r>
      <w:r w:rsidR="00937869">
        <w:t xml:space="preserve">calculates </w:t>
      </w:r>
      <w:r w:rsidR="003E3011">
        <w:t>a rat</w:t>
      </w:r>
      <w:r w:rsidR="00937869">
        <w:t>io</w:t>
      </w:r>
      <w:r w:rsidR="003E3011">
        <w:t xml:space="preserve"> between the stored substances and </w:t>
      </w:r>
      <w:r w:rsidR="00CE25A3">
        <w:t>upper threshold</w:t>
      </w:r>
      <w:r w:rsidR="00776FAF">
        <w:t>s</w:t>
      </w:r>
      <w:r w:rsidR="00CE25A3">
        <w:t xml:space="preserve">. </w:t>
      </w:r>
      <w:r w:rsidR="00776FAF">
        <w:t>Upper-tier establishments exist (UTE)</w:t>
      </w:r>
      <w:r w:rsidR="005A2324">
        <w:t xml:space="preserve"> when </w:t>
      </w:r>
      <w:r w:rsidR="005A2324" w:rsidRPr="001F79AA">
        <w:rPr>
          <w:i/>
          <w:iCs/>
        </w:rPr>
        <w:t>Q</w:t>
      </w:r>
      <w:r w:rsidR="005A2324" w:rsidRPr="001F79AA">
        <w:rPr>
          <w:i/>
          <w:iCs/>
          <w:vertAlign w:val="subscript"/>
        </w:rPr>
        <w:t>Cs</w:t>
      </w:r>
      <w:r w:rsidR="005A2324" w:rsidRPr="00B160A5">
        <w:t xml:space="preserve"> </w:t>
      </w:r>
      <w:r w:rsidR="005A2324">
        <w:t>≥ 1</w:t>
      </w:r>
      <w:r w:rsidR="004368E6">
        <w:t xml:space="preserve">, while </w:t>
      </w:r>
      <w:r w:rsidR="000C2576" w:rsidRPr="00183743">
        <w:t>if</w:t>
      </w:r>
      <w:r w:rsidR="000C2576">
        <w:t xml:space="preserve"> </w:t>
      </w:r>
      <w:r w:rsidR="000C2576" w:rsidRPr="00B952DF">
        <w:rPr>
          <w:i/>
          <w:iCs/>
        </w:rPr>
        <w:t>Q</w:t>
      </w:r>
      <w:r w:rsidR="000C2576" w:rsidRPr="00B952DF">
        <w:rPr>
          <w:i/>
          <w:iCs/>
          <w:vertAlign w:val="subscript"/>
        </w:rPr>
        <w:t>Cs</w:t>
      </w:r>
      <w:r w:rsidR="000C2576">
        <w:t xml:space="preserve">&lt;0.05 for </w:t>
      </w:r>
      <w:r w:rsidR="000C2576" w:rsidRPr="00F26CC1">
        <w:rPr>
          <w:lang w:val="en-GB"/>
        </w:rPr>
        <w:t xml:space="preserve">each </w:t>
      </w:r>
      <w:r w:rsidR="000C2576" w:rsidRPr="001F79AA">
        <w:rPr>
          <w:i/>
          <w:iCs/>
          <w:lang w:val="en-GB"/>
        </w:rPr>
        <w:t>C</w:t>
      </w:r>
      <w:r w:rsidR="000C2576" w:rsidRPr="001F79AA">
        <w:rPr>
          <w:i/>
          <w:iCs/>
          <w:vertAlign w:val="subscript"/>
          <w:lang w:val="en-GB"/>
        </w:rPr>
        <w:t>s</w:t>
      </w:r>
      <w:r w:rsidR="000C2576" w:rsidRPr="00F26CC1">
        <w:rPr>
          <w:lang w:val="en-GB"/>
        </w:rPr>
        <w:t xml:space="preserve"> </w:t>
      </w:r>
      <w:r w:rsidR="000C2576">
        <w:rPr>
          <w:lang w:val="en-GB"/>
        </w:rPr>
        <w:t xml:space="preserve">category, </w:t>
      </w:r>
      <w:r w:rsidR="000C2576" w:rsidRPr="00AF36BC">
        <w:rPr>
          <w:lang w:val="en-GB"/>
        </w:rPr>
        <w:t>the establishment does not have the potential to cause a major accident</w:t>
      </w:r>
      <w:r w:rsidR="000C2576">
        <w:rPr>
          <w:lang w:val="en-GB"/>
        </w:rPr>
        <w:t xml:space="preserve">, based on the </w:t>
      </w:r>
      <w:r w:rsidR="00FB22FA">
        <w:rPr>
          <w:lang w:val="en-GB"/>
        </w:rPr>
        <w:t xml:space="preserve">consideration that the </w:t>
      </w:r>
      <w:r w:rsidR="000C2576">
        <w:rPr>
          <w:lang w:val="en-GB"/>
        </w:rPr>
        <w:t xml:space="preserve">notification </w:t>
      </w:r>
      <w:r w:rsidR="00E04E3D" w:rsidRPr="00183743">
        <w:t>criterion</w:t>
      </w:r>
      <w:r w:rsidR="00E04E3D">
        <w:t xml:space="preserve"> established for </w:t>
      </w:r>
      <w:r w:rsidR="00183743" w:rsidRPr="00183743">
        <w:t xml:space="preserve">the European Commission </w:t>
      </w:r>
      <w:r w:rsidR="00E04E3D" w:rsidRPr="00183743">
        <w:t>involv</w:t>
      </w:r>
      <w:r w:rsidR="00E04E3D">
        <w:t>es</w:t>
      </w:r>
      <w:r w:rsidR="00183743" w:rsidRPr="00183743">
        <w:t xml:space="preserve"> at least 5% of the upper threshold amount (UTE)</w:t>
      </w:r>
      <w:r w:rsidR="00E04E3D">
        <w:t xml:space="preserve">. </w:t>
      </w:r>
      <w:r w:rsidR="00AF36BC" w:rsidRPr="00AF36BC">
        <w:rPr>
          <w:lang w:val="en-GB"/>
        </w:rPr>
        <w:t>Therefore, 0.05 represents the cutoff point for Major Accident Potential (MAPP).</w:t>
      </w:r>
      <w:r w:rsidR="00877BD8">
        <w:t xml:space="preserve"> </w:t>
      </w:r>
      <w:r w:rsidR="00020965" w:rsidRPr="00BD6782">
        <w:rPr>
          <w:iCs/>
        </w:rPr>
        <w:t xml:space="preserve">Figure </w:t>
      </w:r>
      <w:r w:rsidR="00020965">
        <w:rPr>
          <w:iCs/>
        </w:rPr>
        <w:t>1</w:t>
      </w:r>
      <w:r w:rsidR="00020965" w:rsidRPr="00BD6782">
        <w:rPr>
          <w:iCs/>
        </w:rPr>
        <w:t xml:space="preserve"> generalizes the conceptual representation </w:t>
      </w:r>
      <w:r w:rsidR="00020965">
        <w:rPr>
          <w:iCs/>
        </w:rPr>
        <w:t xml:space="preserve">of the framework </w:t>
      </w:r>
      <w:r w:rsidR="00020965">
        <w:t>including a colored d</w:t>
      </w:r>
      <w:r w:rsidR="00020965" w:rsidRPr="00042C6B">
        <w:t>ecisional scale for</w:t>
      </w:r>
      <w:r w:rsidR="00020965" w:rsidRPr="00D12A9F">
        <w:rPr>
          <w:rStyle w:val="CETCaptionCarattere"/>
        </w:rPr>
        <w:t xml:space="preserve"> Q</w:t>
      </w:r>
      <w:r w:rsidR="00020965" w:rsidRPr="00080406">
        <w:rPr>
          <w:rStyle w:val="CETCaptionCarattere"/>
          <w:vertAlign w:val="subscript"/>
        </w:rPr>
        <w:t>Cs</w:t>
      </w:r>
      <w:r w:rsidR="00020965" w:rsidRPr="00D12A9F">
        <w:rPr>
          <w:rStyle w:val="CETCaptionCarattere"/>
        </w:rPr>
        <w:t xml:space="preserve"> </w:t>
      </w:r>
      <w:r w:rsidR="00020965" w:rsidRPr="00042C6B">
        <w:rPr>
          <w:rStyle w:val="CETCaptionCarattere"/>
          <w:i w:val="0"/>
          <w:iCs/>
        </w:rPr>
        <w:t>in function of</w:t>
      </w:r>
      <w:r w:rsidR="00020965" w:rsidRPr="00D12A9F">
        <w:rPr>
          <w:rStyle w:val="CETCaptionCarattere"/>
        </w:rPr>
        <w:t xml:space="preserve"> Q</w:t>
      </w:r>
      <w:r w:rsidR="00020965" w:rsidRPr="00BB0733">
        <w:rPr>
          <w:rStyle w:val="CETCaptionCarattere"/>
          <w:vertAlign w:val="subscript"/>
        </w:rPr>
        <w:t>Ux</w:t>
      </w:r>
      <w:r w:rsidR="00020965" w:rsidRPr="001F79AA">
        <w:rPr>
          <w:rStyle w:val="CETCaptionCarattere"/>
          <w:iCs/>
          <w:vertAlign w:val="subscript"/>
        </w:rPr>
        <w:t>(</w:t>
      </w:r>
      <w:r w:rsidR="00020965" w:rsidRPr="00BB0733">
        <w:rPr>
          <w:rStyle w:val="CETCaptionCarattere"/>
          <w:vertAlign w:val="subscript"/>
        </w:rPr>
        <w:t>s</w:t>
      </w:r>
      <w:r w:rsidR="00020965" w:rsidRPr="001F79AA">
        <w:rPr>
          <w:rStyle w:val="CETCaptionCarattere"/>
          <w:iCs/>
          <w:vertAlign w:val="subscript"/>
        </w:rPr>
        <w:t>)</w:t>
      </w:r>
      <w:r w:rsidR="00020965" w:rsidRPr="0021089A">
        <w:rPr>
          <w:i/>
        </w:rPr>
        <w:t>.</w:t>
      </w:r>
    </w:p>
    <w:p w14:paraId="51B660F9" w14:textId="77777777" w:rsidR="00020965" w:rsidRDefault="00020965" w:rsidP="00020965">
      <w:pPr>
        <w:pStyle w:val="CETCaption"/>
        <w:jc w:val="center"/>
        <w:rPr>
          <w:rStyle w:val="CETCaptionCarattere"/>
          <w:i/>
        </w:rPr>
      </w:pPr>
      <w:r w:rsidRPr="005737B8">
        <w:rPr>
          <w:rStyle w:val="CETCaptionCarattere"/>
          <w:i/>
          <w:noProof/>
        </w:rPr>
        <w:drawing>
          <wp:inline distT="0" distB="0" distL="0" distR="0" wp14:anchorId="5ADB6013" wp14:editId="0210B881">
            <wp:extent cx="4444881" cy="2545715"/>
            <wp:effectExtent l="0" t="0" r="0" b="6985"/>
            <wp:docPr id="2090168136" name="Immagine 1" descr="Immagine che contiene testo, schermata, Caratter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68136" name="Immagine 1" descr="Immagine che contiene testo, schermata, Carattere, diagramma&#10;&#10;Descrizione generata automaticamente"/>
                    <pic:cNvPicPr/>
                  </pic:nvPicPr>
                  <pic:blipFill rotWithShape="1">
                    <a:blip r:embed="rId12"/>
                    <a:srcRect t="2562" b="1542"/>
                    <a:stretch/>
                  </pic:blipFill>
                  <pic:spPr bwMode="auto">
                    <a:xfrm>
                      <a:off x="0" y="0"/>
                      <a:ext cx="4498729" cy="2576555"/>
                    </a:xfrm>
                    <a:prstGeom prst="rect">
                      <a:avLst/>
                    </a:prstGeom>
                    <a:ln>
                      <a:noFill/>
                    </a:ln>
                    <a:extLst>
                      <a:ext uri="{53640926-AAD7-44D8-BBD7-CCE9431645EC}">
                        <a14:shadowObscured xmlns:a14="http://schemas.microsoft.com/office/drawing/2010/main"/>
                      </a:ext>
                    </a:extLst>
                  </pic:spPr>
                </pic:pic>
              </a:graphicData>
            </a:graphic>
          </wp:inline>
        </w:drawing>
      </w:r>
    </w:p>
    <w:p w14:paraId="77C82E62" w14:textId="3DC58188" w:rsidR="00020965" w:rsidRPr="00185334" w:rsidRDefault="00020965" w:rsidP="00136E3F">
      <w:pPr>
        <w:pStyle w:val="CETCaption"/>
      </w:pPr>
      <w:r w:rsidRPr="00BD077D">
        <w:rPr>
          <w:rStyle w:val="CETCaptionCarattere"/>
          <w:i/>
        </w:rPr>
        <w:t xml:space="preserve">Figure </w:t>
      </w:r>
      <w:r>
        <w:rPr>
          <w:rStyle w:val="CETCaptionCarattere"/>
          <w:i/>
        </w:rPr>
        <w:t>1</w:t>
      </w:r>
      <w:r w:rsidRPr="00BD077D">
        <w:rPr>
          <w:rStyle w:val="CETCaptionCarattere"/>
          <w:i/>
        </w:rPr>
        <w:t xml:space="preserve">: </w:t>
      </w:r>
      <w:r>
        <w:rPr>
          <w:rStyle w:val="CETCaptionCarattere"/>
          <w:i/>
        </w:rPr>
        <w:t>a) Framework</w:t>
      </w:r>
      <w:r w:rsidRPr="00E44D59">
        <w:rPr>
          <w:rStyle w:val="CETCaptionCarattere"/>
          <w:i/>
        </w:rPr>
        <w:t xml:space="preserve"> representation </w:t>
      </w:r>
      <w:r>
        <w:rPr>
          <w:rStyle w:val="CETCaptionCarattere"/>
          <w:i/>
        </w:rPr>
        <w:t>for assess</w:t>
      </w:r>
      <w:r w:rsidR="00091FFA">
        <w:rPr>
          <w:rStyle w:val="CETCaptionCarattere"/>
          <w:i/>
        </w:rPr>
        <w:t>ing</w:t>
      </w:r>
      <w:r>
        <w:rPr>
          <w:rStyle w:val="CETCaptionCarattere"/>
          <w:i/>
        </w:rPr>
        <w:t xml:space="preserve"> the potentiality to cause major industrial accidents based on the dangerous substance criteria.</w:t>
      </w:r>
      <w:r w:rsidRPr="00CC06FD">
        <w:t xml:space="preserve"> </w:t>
      </w:r>
      <w:r>
        <w:t xml:space="preserve">b) </w:t>
      </w:r>
      <w:r w:rsidRPr="00D12A9F">
        <w:rPr>
          <w:rStyle w:val="CETCaptionCarattere"/>
          <w:i/>
        </w:rPr>
        <w:t>Decisional scale for Q</w:t>
      </w:r>
      <w:r w:rsidRPr="00080406">
        <w:rPr>
          <w:rStyle w:val="CETCaptionCarattere"/>
          <w:i/>
          <w:vertAlign w:val="subscript"/>
        </w:rPr>
        <w:t>Cs</w:t>
      </w:r>
      <w:r w:rsidRPr="00D12A9F">
        <w:rPr>
          <w:rStyle w:val="CETCaptionCarattere"/>
          <w:i/>
        </w:rPr>
        <w:t xml:space="preserve"> in function of Q</w:t>
      </w:r>
      <w:r w:rsidRPr="00BB0733">
        <w:rPr>
          <w:rStyle w:val="CETCaptionCarattere"/>
          <w:i/>
          <w:vertAlign w:val="subscript"/>
        </w:rPr>
        <w:t>Ux</w:t>
      </w:r>
      <w:r w:rsidRPr="001F79AA">
        <w:rPr>
          <w:rStyle w:val="CETCaptionCarattere"/>
          <w:iCs/>
          <w:vertAlign w:val="subscript"/>
        </w:rPr>
        <w:t>(</w:t>
      </w:r>
      <w:r w:rsidRPr="00BB0733">
        <w:rPr>
          <w:rStyle w:val="CETCaptionCarattere"/>
          <w:i/>
          <w:vertAlign w:val="subscript"/>
        </w:rPr>
        <w:t>s</w:t>
      </w:r>
      <w:r w:rsidRPr="001F79AA">
        <w:rPr>
          <w:rStyle w:val="CETCaptionCarattere"/>
          <w:iCs/>
          <w:vertAlign w:val="subscript"/>
        </w:rPr>
        <w:t>)</w:t>
      </w:r>
      <w:r w:rsidRPr="00537B02">
        <w:rPr>
          <w:rStyle w:val="CETCaptionCarattere"/>
          <w:i/>
        </w:rPr>
        <w:t>.</w:t>
      </w:r>
    </w:p>
    <w:p w14:paraId="66590625" w14:textId="506BFD76" w:rsidR="00823348" w:rsidRDefault="002B53A8" w:rsidP="00823348">
      <w:pPr>
        <w:pStyle w:val="CETBodytext"/>
      </w:pPr>
      <w:r>
        <w:lastRenderedPageBreak/>
        <w:t xml:space="preserve">From a mathematical </w:t>
      </w:r>
      <w:r w:rsidR="00474048">
        <w:t>perspective</w:t>
      </w:r>
      <w:r>
        <w:t xml:space="preserve">, the </w:t>
      </w:r>
      <w:r w:rsidR="00474048">
        <w:t xml:space="preserve">compliance </w:t>
      </w:r>
      <w:r>
        <w:t xml:space="preserve">index </w:t>
      </w:r>
      <w:r w:rsidRPr="00A931D0">
        <w:rPr>
          <w:i/>
          <w:iCs/>
        </w:rPr>
        <w:t>Q</w:t>
      </w:r>
      <w:r w:rsidRPr="00896E29">
        <w:rPr>
          <w:i/>
          <w:iCs/>
          <w:vertAlign w:val="subscript"/>
        </w:rPr>
        <w:t>Cs</w:t>
      </w:r>
      <w:r>
        <w:t xml:space="preserve"> </w:t>
      </w:r>
      <w:r w:rsidR="00930967">
        <w:t xml:space="preserve">can theoretically </w:t>
      </w:r>
      <w:r w:rsidR="004815CC">
        <w:t xml:space="preserve">span the </w:t>
      </w:r>
      <w:r w:rsidR="00930967">
        <w:t xml:space="preserve">range </w:t>
      </w:r>
      <w:r w:rsidR="000C6A45">
        <w:t>(</w:t>
      </w:r>
      <w:r>
        <w:t xml:space="preserve">0; +ꝏ). </w:t>
      </w:r>
      <w:r w:rsidR="001A5465">
        <w:t>However,</w:t>
      </w:r>
      <w:r w:rsidR="009F337C">
        <w:t xml:space="preserve"> </w:t>
      </w:r>
      <w:r w:rsidR="00930967" w:rsidRPr="00930967">
        <w:t>in practical terms, values beyond</w:t>
      </w:r>
      <w:r w:rsidR="00930967">
        <w:t xml:space="preserve"> </w:t>
      </w:r>
      <w:r w:rsidR="009F337C" w:rsidRPr="00B952DF">
        <w:rPr>
          <w:i/>
          <w:iCs/>
        </w:rPr>
        <w:t>Q</w:t>
      </w:r>
      <w:r w:rsidR="009F337C" w:rsidRPr="00B952DF">
        <w:rPr>
          <w:i/>
          <w:iCs/>
          <w:vertAlign w:val="subscript"/>
        </w:rPr>
        <w:t>Cs</w:t>
      </w:r>
      <w:r w:rsidR="009F337C">
        <w:t xml:space="preserve"> ≥ 2</w:t>
      </w:r>
      <w:r w:rsidR="00E65CC0" w:rsidRPr="00E65CC0">
        <w:t xml:space="preserve"> </w:t>
      </w:r>
      <w:r w:rsidR="00B20C20" w:rsidRPr="00B20C20">
        <w:t xml:space="preserve">are not meaningful, given the evident higher criticality associated with this UTE. Conversely, when a plant falls within the interval </w:t>
      </w:r>
      <w:r w:rsidR="00683502">
        <w:t xml:space="preserve">[0.05; </w:t>
      </w:r>
      <w:r w:rsidR="006256B2">
        <w:t>1)</w:t>
      </w:r>
      <w:r w:rsidR="00EC31B7">
        <w:t xml:space="preserve">, </w:t>
      </w:r>
      <w:r w:rsidR="00A924C9" w:rsidRPr="00A924C9">
        <w:t>while it exhibits potential for a major accident, the precise implications of</w:t>
      </w:r>
      <w:r w:rsidR="00A924C9">
        <w:t xml:space="preserve"> </w:t>
      </w:r>
      <w:r w:rsidR="00B61494" w:rsidRPr="00A931D0">
        <w:rPr>
          <w:i/>
          <w:iCs/>
        </w:rPr>
        <w:t>Q</w:t>
      </w:r>
      <w:r w:rsidR="00B61494" w:rsidRPr="00896E29">
        <w:rPr>
          <w:i/>
          <w:iCs/>
          <w:vertAlign w:val="subscript"/>
        </w:rPr>
        <w:t>Cs</w:t>
      </w:r>
      <w:r w:rsidR="00B61494" w:rsidRPr="00E36BF8">
        <w:t xml:space="preserve"> </w:t>
      </w:r>
      <w:r w:rsidR="00823348">
        <w:t>within this range are less clear. Notably, this interval includes all lower-tier establishments as well as some other facilities.</w:t>
      </w:r>
    </w:p>
    <w:p w14:paraId="747F4503" w14:textId="6990807A" w:rsidR="0017226F" w:rsidRDefault="00823348" w:rsidP="00823348">
      <w:pPr>
        <w:pStyle w:val="CETBodytext"/>
      </w:pPr>
      <w:r>
        <w:t>To address this</w:t>
      </w:r>
      <w:r w:rsidR="00E148C2">
        <w:t xml:space="preserve"> point</w:t>
      </w:r>
      <w:r>
        <w:t>, further analyses were conducted using regulatory data for the 69 threshold quantities listed in Columns 2 and 3 of Annex I in Directive 2012/18/EU. Linear relationships between upper and lower-tier thresholds, as well as their respective 5% (UTE) values, were examined. Additionally, the frequency of</w:t>
      </w:r>
      <w:r w:rsidR="00712158">
        <w:t xml:space="preserve"> </w:t>
      </w:r>
      <w:r w:rsidR="00712158" w:rsidRPr="00A931D0">
        <w:rPr>
          <w:i/>
          <w:iCs/>
        </w:rPr>
        <w:t>Q</w:t>
      </w:r>
      <w:r w:rsidR="00712158" w:rsidRPr="00896E29">
        <w:rPr>
          <w:i/>
          <w:iCs/>
          <w:vertAlign w:val="subscript"/>
        </w:rPr>
        <w:t>Cs</w:t>
      </w:r>
      <w:r w:rsidR="004815CC">
        <w:t xml:space="preserve"> </w:t>
      </w:r>
      <w:r w:rsidR="00722648">
        <w:t xml:space="preserve">values </w:t>
      </w:r>
      <w:r w:rsidR="00A51753" w:rsidRPr="00A51753">
        <w:t>within five classes in the interval</w:t>
      </w:r>
      <w:r w:rsidR="00BC0BD9">
        <w:t xml:space="preserve"> </w:t>
      </w:r>
      <w:r w:rsidR="009972F3">
        <w:t>(</w:t>
      </w:r>
      <w:r w:rsidR="00BC0BD9">
        <w:t>0; 1)</w:t>
      </w:r>
      <w:r w:rsidR="00A413FF">
        <w:t xml:space="preserve"> </w:t>
      </w:r>
      <w:r w:rsidR="00A51753" w:rsidRPr="00A51753">
        <w:t>was analyzed to assess the potential of lower-tier establishments and non-Seveso facilities to fall within each class.</w:t>
      </w:r>
    </w:p>
    <w:p w14:paraId="093BDE9D" w14:textId="4D2B7C03" w:rsidR="00BC6A88" w:rsidRDefault="00BC6A88" w:rsidP="00BC6A88">
      <w:pPr>
        <w:pStyle w:val="CETBodytext"/>
      </w:pPr>
      <w:r>
        <w:t xml:space="preserve">For instance, all the plants in the intervals (0; 0.1) are non-Seveso establishments with 100% confidence. However, this interval is split into two groups: the minor risk facilities in the green zone (0; 0.05) with values that are lower than the </w:t>
      </w:r>
      <w:r w:rsidR="00B577F9">
        <w:fldChar w:fldCharType="begin"/>
      </w:r>
      <w:r w:rsidR="00B577F9">
        <w:instrText xml:space="preserve"> REF MAAP \h </w:instrText>
      </w:r>
      <w:r w:rsidR="00B577F9">
        <w:fldChar w:fldCharType="separate"/>
      </w:r>
      <w:r w:rsidR="00B577F9">
        <w:t>MAPP</w:t>
      </w:r>
      <w:r w:rsidR="00B577F9">
        <w:fldChar w:fldCharType="end"/>
      </w:r>
      <w:r>
        <w:t>, and facilities in the yellow zone, which are non-Seveso but have the potential to cause a major accident within the range [0.05, 0.1).</w:t>
      </w:r>
    </w:p>
    <w:p w14:paraId="469DDB07" w14:textId="679DB68A" w:rsidR="00B973F2" w:rsidRDefault="00BC6A88" w:rsidP="002F2DE7">
      <w:pPr>
        <w:pStyle w:val="CETBodytext"/>
        <w:rPr>
          <w:i/>
        </w:rPr>
      </w:pPr>
      <w:r>
        <w:t xml:space="preserve">Furthermore, in the interval in the orange zone [0.1; 0.25) not only might </w:t>
      </w:r>
      <w:r w:rsidR="0032100F">
        <w:t>non-Seveso plants be located</w:t>
      </w:r>
      <w:r>
        <w:t xml:space="preserve"> with the potential to cause major accidents but also there is a </w:t>
      </w:r>
      <w:r w:rsidR="00F722A5">
        <w:t>likelihood</w:t>
      </w:r>
      <w:r w:rsidR="00A358A8">
        <w:t xml:space="preserve"> </w:t>
      </w:r>
      <w:r>
        <w:t xml:space="preserve">less than or equal to 20% to find LTE </w:t>
      </w:r>
      <w:r w:rsidR="00A358A8">
        <w:t xml:space="preserve">establishments </w:t>
      </w:r>
      <w:r>
        <w:t xml:space="preserve">depending on the presence of </w:t>
      </w:r>
      <w:r w:rsidR="002F2DE7">
        <w:t>substances</w:t>
      </w:r>
      <w:r>
        <w:t xml:space="preserve"> that have </w:t>
      </w:r>
      <w:r w:rsidR="0094792D">
        <w:t>lower</w:t>
      </w:r>
      <w:r>
        <w:t xml:space="preserve"> thresholds in this interval. Similarly, the interval in the brown zone [0.25; 0.5) might encompass non-Seveso plants but here the </w:t>
      </w:r>
      <w:r w:rsidR="00123918">
        <w:t>likelihood</w:t>
      </w:r>
      <w:r w:rsidR="008142C4">
        <w:t xml:space="preserve"> </w:t>
      </w:r>
      <w:r>
        <w:t xml:space="preserve">of LTE </w:t>
      </w:r>
      <w:r w:rsidR="00123918">
        <w:t>span</w:t>
      </w:r>
      <w:r w:rsidR="00CE187B">
        <w:t xml:space="preserve"> </w:t>
      </w:r>
      <w:r>
        <w:t>between 20% and 1.</w:t>
      </w:r>
      <w:r w:rsidR="00817A9B">
        <w:t xml:space="preserve"> </w:t>
      </w:r>
      <w:r>
        <w:t xml:space="preserve">Subsequently, </w:t>
      </w:r>
      <w:r w:rsidR="00A82C0C">
        <w:t xml:space="preserve">just LTE can be found </w:t>
      </w:r>
      <w:r>
        <w:t>in the red zone interval [0.5; 1)</w:t>
      </w:r>
      <w:r w:rsidR="008142C4">
        <w:t xml:space="preserve">. </w:t>
      </w:r>
      <w:r w:rsidR="004F310D">
        <w:t>F</w:t>
      </w:r>
      <w:r>
        <w:t>rom the purple zone and onwards (black zone) just UTE can be located [1; 2) and [2; onwards)</w:t>
      </w:r>
      <w:r w:rsidR="004F310D">
        <w:t>, as previously introduced</w:t>
      </w:r>
      <w:r>
        <w:t>.</w:t>
      </w:r>
    </w:p>
    <w:p w14:paraId="26C93B18" w14:textId="6A98E4FC" w:rsidR="0051583D" w:rsidRDefault="00DF5540" w:rsidP="00136E3F">
      <w:pPr>
        <w:pStyle w:val="CETBodytext"/>
      </w:pPr>
      <w:r w:rsidRPr="00B973F2">
        <w:t xml:space="preserve">The index of compliance should be </w:t>
      </w:r>
      <w:r w:rsidR="00EC2283" w:rsidRPr="00B973F2">
        <w:t>calculated separately for each category</w:t>
      </w:r>
      <w:r w:rsidRPr="00B973F2">
        <w:t xml:space="preserve"> of</w:t>
      </w:r>
      <w:r w:rsidRPr="00817A9B">
        <w:t xml:space="preserve"> </w:t>
      </w:r>
      <w:r w:rsidRPr="00817A9B">
        <w:rPr>
          <w:i/>
          <w:iCs/>
        </w:rPr>
        <w:t>C</w:t>
      </w:r>
      <w:r w:rsidRPr="00817A9B">
        <w:rPr>
          <w:i/>
          <w:iCs/>
          <w:vertAlign w:val="subscript"/>
        </w:rPr>
        <w:t>s</w:t>
      </w:r>
      <w:r w:rsidRPr="00817A9B">
        <w:t xml:space="preserve"> (</w:t>
      </w:r>
      <w:r w:rsidRPr="00817A9B">
        <w:rPr>
          <w:i/>
          <w:iCs/>
        </w:rPr>
        <w:t>Q</w:t>
      </w:r>
      <w:r w:rsidRPr="00817A9B">
        <w:rPr>
          <w:i/>
          <w:iCs/>
          <w:vertAlign w:val="subscript"/>
        </w:rPr>
        <w:t>Ca</w:t>
      </w:r>
      <w:r w:rsidRPr="00817A9B">
        <w:t xml:space="preserve">, </w:t>
      </w:r>
      <w:r w:rsidRPr="00FA76E3">
        <w:rPr>
          <w:i/>
          <w:iCs/>
        </w:rPr>
        <w:t>Q</w:t>
      </w:r>
      <w:r w:rsidRPr="00FA76E3">
        <w:rPr>
          <w:i/>
          <w:iCs/>
          <w:vertAlign w:val="subscript"/>
        </w:rPr>
        <w:t>Cb</w:t>
      </w:r>
      <w:r w:rsidRPr="00817A9B">
        <w:t xml:space="preserve">, </w:t>
      </w:r>
      <w:r w:rsidRPr="00FA76E3">
        <w:rPr>
          <w:i/>
          <w:iCs/>
        </w:rPr>
        <w:t>Q</w:t>
      </w:r>
      <w:r w:rsidRPr="00FA76E3">
        <w:rPr>
          <w:i/>
          <w:iCs/>
          <w:vertAlign w:val="subscript"/>
        </w:rPr>
        <w:t>Cc</w:t>
      </w:r>
      <w:r w:rsidRPr="00817A9B">
        <w:t>)</w:t>
      </w:r>
      <w:r>
        <w:t xml:space="preserve">. </w:t>
      </w:r>
      <w:r w:rsidR="004A7731">
        <w:t>T</w:t>
      </w:r>
      <w:r w:rsidR="004A7731" w:rsidRPr="004A7731">
        <w:t xml:space="preserve">he </w:t>
      </w:r>
      <w:r w:rsidR="00F60B33" w:rsidRPr="00D4418B">
        <w:rPr>
          <w:iCs/>
        </w:rPr>
        <w:t>maximum</w:t>
      </w:r>
      <w:r w:rsidR="00F60B33" w:rsidRPr="0032100F">
        <w:rPr>
          <w:iCs/>
        </w:rPr>
        <w:t xml:space="preserve"> </w:t>
      </w:r>
      <w:r w:rsidR="00202FD6" w:rsidRPr="00D4418B">
        <w:rPr>
          <w:i/>
          <w:iCs/>
        </w:rPr>
        <w:t>Q</w:t>
      </w:r>
      <w:r w:rsidR="00202FD6" w:rsidRPr="00D4418B">
        <w:rPr>
          <w:i/>
          <w:iCs/>
          <w:vertAlign w:val="subscript"/>
        </w:rPr>
        <w:t>Cs</w:t>
      </w:r>
      <w:r w:rsidR="00202FD6" w:rsidRPr="004A7731">
        <w:rPr>
          <w:i/>
        </w:rPr>
        <w:t xml:space="preserve"> </w:t>
      </w:r>
      <w:r w:rsidR="00D1796F" w:rsidRPr="00D4418B">
        <w:rPr>
          <w:iCs/>
        </w:rPr>
        <w:t>value among</w:t>
      </w:r>
      <w:r w:rsidR="00D1796F">
        <w:rPr>
          <w:i/>
        </w:rPr>
        <w:t xml:space="preserve"> </w:t>
      </w:r>
      <w:r w:rsidR="00202FD6" w:rsidRPr="00D4418B">
        <w:rPr>
          <w:i/>
          <w:iCs/>
        </w:rPr>
        <w:t>Q</w:t>
      </w:r>
      <w:r w:rsidR="00202FD6" w:rsidRPr="00D4418B">
        <w:rPr>
          <w:i/>
          <w:iCs/>
          <w:vertAlign w:val="subscript"/>
        </w:rPr>
        <w:t>Ca</w:t>
      </w:r>
      <w:r w:rsidR="001604DC" w:rsidRPr="00090964">
        <w:t xml:space="preserve">, </w:t>
      </w:r>
      <w:r w:rsidR="00202FD6" w:rsidRPr="00D4418B">
        <w:rPr>
          <w:i/>
          <w:iCs/>
        </w:rPr>
        <w:t>Q</w:t>
      </w:r>
      <w:r w:rsidR="00202FD6" w:rsidRPr="00D4418B">
        <w:rPr>
          <w:i/>
          <w:iCs/>
          <w:vertAlign w:val="subscript"/>
        </w:rPr>
        <w:t>Cb</w:t>
      </w:r>
      <w:r w:rsidR="001604DC" w:rsidRPr="00090964">
        <w:t>,</w:t>
      </w:r>
      <w:r w:rsidR="00D1796F">
        <w:rPr>
          <w:i/>
        </w:rPr>
        <w:t xml:space="preserve"> </w:t>
      </w:r>
      <w:r w:rsidR="00D1796F" w:rsidRPr="00D4418B">
        <w:rPr>
          <w:iCs/>
        </w:rPr>
        <w:t>and</w:t>
      </w:r>
      <w:r w:rsidR="00D1796F">
        <w:rPr>
          <w:i/>
        </w:rPr>
        <w:t xml:space="preserve"> </w:t>
      </w:r>
      <w:r w:rsidR="00202FD6" w:rsidRPr="00D4418B">
        <w:rPr>
          <w:i/>
          <w:iCs/>
        </w:rPr>
        <w:t>Q</w:t>
      </w:r>
      <w:r w:rsidR="00202FD6" w:rsidRPr="00D4418B">
        <w:rPr>
          <w:i/>
          <w:iCs/>
          <w:vertAlign w:val="subscript"/>
        </w:rPr>
        <w:t>C</w:t>
      </w:r>
      <w:r w:rsidR="00202FD6">
        <w:rPr>
          <w:vertAlign w:val="subscript"/>
        </w:rPr>
        <w:t>c</w:t>
      </w:r>
      <w:r w:rsidR="00202FD6" w:rsidRPr="004A7731">
        <w:rPr>
          <w:i/>
        </w:rPr>
        <w:t xml:space="preserve"> </w:t>
      </w:r>
      <w:r w:rsidR="004A7731" w:rsidRPr="004A7731">
        <w:t xml:space="preserve">will be selected </w:t>
      </w:r>
      <w:r w:rsidR="00B3328D">
        <w:t>to</w:t>
      </w:r>
      <w:r w:rsidR="00F60B33" w:rsidRPr="004A7731">
        <w:t xml:space="preserve"> </w:t>
      </w:r>
      <w:r w:rsidR="001B206F">
        <w:t>characterize</w:t>
      </w:r>
      <w:r w:rsidR="00A02552">
        <w:t xml:space="preserve"> </w:t>
      </w:r>
      <w:r w:rsidR="00366DA8">
        <w:t>the</w:t>
      </w:r>
      <w:r w:rsidR="004A7731" w:rsidRPr="004A7731">
        <w:t xml:space="preserve"> </w:t>
      </w:r>
      <w:r w:rsidR="00B3328D">
        <w:t xml:space="preserve">highest potential to </w:t>
      </w:r>
      <w:r w:rsidR="008506A0">
        <w:t xml:space="preserve">cause </w:t>
      </w:r>
      <w:r w:rsidR="00A02552" w:rsidRPr="00F722A5">
        <w:t>major</w:t>
      </w:r>
      <w:r w:rsidR="00A02552">
        <w:t xml:space="preserve"> </w:t>
      </w:r>
      <w:r w:rsidR="00A02552" w:rsidRPr="004A7731">
        <w:t xml:space="preserve">industrial </w:t>
      </w:r>
      <w:r w:rsidR="00A02552">
        <w:t>accident</w:t>
      </w:r>
      <w:r w:rsidR="008506A0">
        <w:t>s,</w:t>
      </w:r>
      <w:r w:rsidR="00A02552">
        <w:t xml:space="preserve"> </w:t>
      </w:r>
      <w:r w:rsidR="0051583D">
        <w:t>based on the</w:t>
      </w:r>
      <w:r w:rsidR="004A7731" w:rsidRPr="004A7731">
        <w:t xml:space="preserve"> </w:t>
      </w:r>
      <w:r w:rsidR="00A02552" w:rsidRPr="004A7731">
        <w:t xml:space="preserve">hazardous </w:t>
      </w:r>
      <w:r w:rsidR="001B206F" w:rsidRPr="004A7731">
        <w:t>substance’s</w:t>
      </w:r>
      <w:r w:rsidR="00A02552" w:rsidRPr="004A7731">
        <w:t xml:space="preserve"> </w:t>
      </w:r>
      <w:r w:rsidR="004A7731" w:rsidRPr="004A7731">
        <w:t>dangerousness</w:t>
      </w:r>
      <w:r w:rsidR="005A33A6">
        <w:rPr>
          <w:i/>
        </w:rPr>
        <w:t xml:space="preserve">. </w:t>
      </w:r>
      <w:r w:rsidR="00B65337">
        <w:t>A</w:t>
      </w:r>
      <w:r w:rsidR="005A33A6" w:rsidRPr="005A33A6">
        <w:t xml:space="preserve">ttention should still be given to </w:t>
      </w:r>
      <w:r w:rsidR="00A02552">
        <w:t xml:space="preserve">the </w:t>
      </w:r>
      <w:r w:rsidR="001B206F">
        <w:t>other</w:t>
      </w:r>
      <w:r w:rsidR="00A02552">
        <w:t xml:space="preserve"> c</w:t>
      </w:r>
      <w:r w:rsidR="005A33A6" w:rsidRPr="005A33A6">
        <w:t>ategor</w:t>
      </w:r>
      <w:r w:rsidR="00A02552">
        <w:t xml:space="preserve">ies, </w:t>
      </w:r>
      <w:r w:rsidR="002E5712">
        <w:t>if</w:t>
      </w:r>
      <w:r w:rsidR="00A02552">
        <w:t xml:space="preserve"> they</w:t>
      </w:r>
      <w:r w:rsidR="005A33A6" w:rsidRPr="005A33A6">
        <w:t xml:space="preserve"> </w:t>
      </w:r>
      <w:r w:rsidR="00B65337">
        <w:t xml:space="preserve">obtain </w:t>
      </w:r>
      <w:r w:rsidR="00940557">
        <w:t xml:space="preserve">values that </w:t>
      </w:r>
      <w:r w:rsidR="00B65337">
        <w:t>fall</w:t>
      </w:r>
      <w:r w:rsidR="00940557">
        <w:t xml:space="preserve"> under color classes </w:t>
      </w:r>
      <w:r w:rsidR="00B65337">
        <w:t>holding the</w:t>
      </w:r>
      <w:r w:rsidR="00940557">
        <w:t xml:space="preserve"> </w:t>
      </w:r>
      <w:r w:rsidR="008506A0">
        <w:t>potential</w:t>
      </w:r>
      <w:r w:rsidR="00992C8D">
        <w:t xml:space="preserve"> </w:t>
      </w:r>
      <w:r w:rsidR="00B65337">
        <w:t>of</w:t>
      </w:r>
      <w:r w:rsidR="00992C8D">
        <w:t xml:space="preserve"> major accidents</w:t>
      </w:r>
      <w:r w:rsidR="000E12EE">
        <w:t>.</w:t>
      </w:r>
    </w:p>
    <w:p w14:paraId="677EBFF0" w14:textId="5B0E86D5" w:rsidR="00600535" w:rsidRPr="00B57B36" w:rsidRDefault="00150D98" w:rsidP="00600535">
      <w:pPr>
        <w:pStyle w:val="CETHeading1"/>
        <w:tabs>
          <w:tab w:val="clear" w:pos="360"/>
          <w:tab w:val="right" w:pos="7100"/>
        </w:tabs>
        <w:jc w:val="both"/>
        <w:rPr>
          <w:lang w:val="en-GB"/>
        </w:rPr>
      </w:pPr>
      <w:r>
        <w:rPr>
          <w:lang w:val="en-GB"/>
        </w:rPr>
        <w:t>Results</w:t>
      </w:r>
    </w:p>
    <w:p w14:paraId="202E51F4" w14:textId="4ED06CFB" w:rsidR="00016197" w:rsidRPr="00790F86" w:rsidRDefault="00E508DA" w:rsidP="00E13573">
      <w:pPr>
        <w:pStyle w:val="CETBodytext"/>
        <w:rPr>
          <w:lang w:val="en-GB"/>
        </w:rPr>
      </w:pPr>
      <w:r w:rsidRPr="00E508DA">
        <w:rPr>
          <w:lang w:val="en-GB"/>
        </w:rPr>
        <w:t xml:space="preserve">Table 1 presents the data for the hazardous substances stored in Plants A and B, used as case studies. It includes the </w:t>
      </w:r>
      <w:r w:rsidR="00CF368A">
        <w:rPr>
          <w:lang w:val="en-GB"/>
        </w:rPr>
        <w:t xml:space="preserve">denomination, the principal hazards statement, </w:t>
      </w:r>
      <w:r w:rsidR="002D6987">
        <w:rPr>
          <w:lang w:val="en-GB"/>
        </w:rPr>
        <w:t xml:space="preserve">and </w:t>
      </w:r>
      <w:r w:rsidRPr="00E508DA">
        <w:rPr>
          <w:lang w:val="en-GB"/>
        </w:rPr>
        <w:t xml:space="preserve">values </w:t>
      </w:r>
      <w:r w:rsidR="00E13573">
        <w:rPr>
          <w:lang w:val="en-GB"/>
        </w:rPr>
        <w:t>for</w:t>
      </w:r>
      <w:r w:rsidRPr="00E508DA">
        <w:rPr>
          <w:lang w:val="en-GB"/>
        </w:rPr>
        <w:t xml:space="preserve"> for</w:t>
      </w:r>
      <w:r w:rsidR="00CF2E0C">
        <w:rPr>
          <w:lang w:val="en-GB"/>
        </w:rPr>
        <w:t xml:space="preserve"> </w:t>
      </w:r>
      <w:r w:rsidR="000F5E96" w:rsidRPr="00DC1303">
        <w:rPr>
          <w:rFonts w:cs="Arial"/>
          <w:i/>
          <w:iCs/>
          <w:szCs w:val="18"/>
          <w:lang w:val="en-GB"/>
        </w:rPr>
        <w:t>Q</w:t>
      </w:r>
      <w:r w:rsidR="000F5E96" w:rsidRPr="00D119D5">
        <w:rPr>
          <w:rFonts w:cs="Arial"/>
          <w:i/>
          <w:iCs/>
          <w:szCs w:val="18"/>
          <w:vertAlign w:val="subscript"/>
          <w:lang w:val="en-GB"/>
        </w:rPr>
        <w:t>Ux</w:t>
      </w:r>
      <w:r w:rsidR="000F5E96" w:rsidRPr="00D119D5">
        <w:rPr>
          <w:rFonts w:cs="Arial"/>
          <w:szCs w:val="18"/>
          <w:vertAlign w:val="subscript"/>
          <w:lang w:val="en-GB"/>
        </w:rPr>
        <w:t>(</w:t>
      </w:r>
      <w:r w:rsidR="000F5E96" w:rsidRPr="00D119D5">
        <w:rPr>
          <w:rFonts w:cs="Arial"/>
          <w:i/>
          <w:iCs/>
          <w:szCs w:val="18"/>
          <w:vertAlign w:val="subscript"/>
          <w:lang w:val="en-GB"/>
        </w:rPr>
        <w:t>s</w:t>
      </w:r>
      <w:r w:rsidR="000F5E96" w:rsidRPr="00D119D5">
        <w:rPr>
          <w:rFonts w:cs="Arial"/>
          <w:szCs w:val="18"/>
          <w:vertAlign w:val="subscript"/>
          <w:lang w:val="en-GB"/>
        </w:rPr>
        <w:t>)</w:t>
      </w:r>
      <w:r w:rsidR="003B2DB3" w:rsidRPr="00DC1303">
        <w:rPr>
          <w:rFonts w:cs="Arial"/>
          <w:i/>
          <w:iCs/>
          <w:szCs w:val="18"/>
          <w:lang w:val="en-GB"/>
        </w:rPr>
        <w:t>, q</w:t>
      </w:r>
      <w:r w:rsidR="003B2DB3" w:rsidRPr="00D119D5">
        <w:rPr>
          <w:rFonts w:cs="Arial"/>
          <w:i/>
          <w:iCs/>
          <w:szCs w:val="18"/>
          <w:vertAlign w:val="subscript"/>
          <w:lang w:val="en-GB"/>
        </w:rPr>
        <w:t>x</w:t>
      </w:r>
      <w:r w:rsidR="003B2DB3" w:rsidRPr="00D119D5">
        <w:rPr>
          <w:rFonts w:cs="Arial"/>
          <w:szCs w:val="18"/>
          <w:vertAlign w:val="subscript"/>
          <w:lang w:val="en-GB"/>
        </w:rPr>
        <w:t>(</w:t>
      </w:r>
      <w:r w:rsidR="003B2DB3" w:rsidRPr="00D119D5">
        <w:rPr>
          <w:rFonts w:cs="Arial"/>
          <w:i/>
          <w:iCs/>
          <w:szCs w:val="18"/>
          <w:vertAlign w:val="subscript"/>
          <w:lang w:val="en-GB"/>
        </w:rPr>
        <w:t>s</w:t>
      </w:r>
      <w:r w:rsidR="003B2DB3" w:rsidRPr="00D119D5">
        <w:rPr>
          <w:rFonts w:cs="Arial"/>
          <w:szCs w:val="18"/>
          <w:vertAlign w:val="subscript"/>
          <w:lang w:val="en-GB"/>
        </w:rPr>
        <w:t>)</w:t>
      </w:r>
      <w:r w:rsidR="003B2DB3" w:rsidRPr="00DC1303">
        <w:rPr>
          <w:rFonts w:cs="Arial"/>
          <w:i/>
          <w:iCs/>
          <w:szCs w:val="18"/>
          <w:lang w:val="en-GB"/>
        </w:rPr>
        <w:t xml:space="preserve">, </w:t>
      </w:r>
      <w:r w:rsidR="006E780B" w:rsidRPr="00DC1303">
        <w:rPr>
          <w:i/>
          <w:iCs/>
          <w:lang w:val="en-GB"/>
        </w:rPr>
        <w:t>Q</w:t>
      </w:r>
      <w:r w:rsidR="006E780B" w:rsidRPr="00D119D5">
        <w:rPr>
          <w:i/>
          <w:iCs/>
          <w:vertAlign w:val="subscript"/>
          <w:lang w:val="en-GB"/>
        </w:rPr>
        <w:t>C</w:t>
      </w:r>
      <w:r w:rsidR="006E780B" w:rsidRPr="00432829">
        <w:rPr>
          <w:i/>
          <w:iCs/>
          <w:vertAlign w:val="subscript"/>
          <w:lang w:val="en-GB"/>
        </w:rPr>
        <w:t>s</w:t>
      </w:r>
      <w:r w:rsidR="00E13573">
        <w:rPr>
          <w:rFonts w:ascii="ArialMT" w:eastAsia="Calibri" w:hAnsi="ArialMT" w:cs="ArialMT"/>
          <w:szCs w:val="18"/>
        </w:rPr>
        <w:t xml:space="preserve">. In addition, the last column clarifies which is the </w:t>
      </w:r>
      <w:r w:rsidR="00F93B43" w:rsidRPr="00DC1303">
        <w:rPr>
          <w:i/>
          <w:iCs/>
          <w:lang w:val="en-GB"/>
        </w:rPr>
        <w:t>C</w:t>
      </w:r>
      <w:r w:rsidR="00F93B43" w:rsidRPr="00DC1303">
        <w:rPr>
          <w:i/>
          <w:iCs/>
          <w:vertAlign w:val="subscript"/>
        </w:rPr>
        <w:t>s</w:t>
      </w:r>
      <w:r w:rsidR="00F93B43" w:rsidRPr="00DC1303">
        <w:rPr>
          <w:vertAlign w:val="subscript"/>
        </w:rPr>
        <w:t xml:space="preserve"> </w:t>
      </w:r>
      <w:r w:rsidR="00E13573">
        <w:t>c</w:t>
      </w:r>
      <w:r w:rsidR="00432829" w:rsidRPr="00DC1303">
        <w:t xml:space="preserve">ritical </w:t>
      </w:r>
      <w:r w:rsidR="00F93B43" w:rsidRPr="00DC1303">
        <w:t>for each substance</w:t>
      </w:r>
      <w:r w:rsidR="00DC1303" w:rsidRPr="00DC1303">
        <w:t xml:space="preserve"> (or mix</w:t>
      </w:r>
      <w:r w:rsidR="00EA3182">
        <w:t>ture</w:t>
      </w:r>
      <w:r w:rsidR="00DC1303" w:rsidRPr="00DC1303">
        <w:t xml:space="preserve">) under </w:t>
      </w:r>
      <w:r w:rsidR="00016197">
        <w:t>consideration</w:t>
      </w:r>
      <w:r w:rsidR="00E13573">
        <w:t xml:space="preserve"> </w:t>
      </w:r>
      <w:r w:rsidR="00016197">
        <w:t>of</w:t>
      </w:r>
      <w:r w:rsidR="00E13573">
        <w:t xml:space="preserve"> the</w:t>
      </w:r>
      <w:r w:rsidR="00DC1303">
        <w:t xml:space="preserve"> </w:t>
      </w:r>
      <w:r w:rsidR="00E13573" w:rsidRPr="00E13573">
        <w:t xml:space="preserve">note 6 of Annex </w:t>
      </w:r>
      <w:r w:rsidR="00016197">
        <w:t>I, according to the substance that</w:t>
      </w:r>
      <w:r w:rsidR="00E13573" w:rsidRPr="00E13573">
        <w:t xml:space="preserve"> </w:t>
      </w:r>
      <w:r w:rsidR="00016197" w:rsidRPr="00E13573">
        <w:t>rises</w:t>
      </w:r>
      <w:r w:rsidR="00E13573" w:rsidRPr="00E13573">
        <w:t xml:space="preserve"> to more than one </w:t>
      </w:r>
      <w:r w:rsidR="00E13573" w:rsidRPr="004822E9">
        <w:rPr>
          <w:i/>
          <w:iCs/>
        </w:rPr>
        <w:t>C</w:t>
      </w:r>
      <w:r w:rsidR="00E13573" w:rsidRPr="004822E9">
        <w:rPr>
          <w:i/>
          <w:iCs/>
          <w:vertAlign w:val="subscript"/>
        </w:rPr>
        <w:t>s</w:t>
      </w:r>
      <w:r w:rsidR="00E13573" w:rsidRPr="00E13573">
        <w:t xml:space="preserve"> classification. </w:t>
      </w:r>
      <w:r w:rsidR="00016197">
        <w:t>Consequently,</w:t>
      </w:r>
      <w:r w:rsidR="00E13573" w:rsidRPr="00E13573">
        <w:t xml:space="preserve"> the </w:t>
      </w:r>
      <w:r w:rsidR="00016197" w:rsidRPr="00E13573">
        <w:t>critical threshold</w:t>
      </w:r>
      <w:r w:rsidR="00E13573" w:rsidRPr="00E13573">
        <w:t xml:space="preserve"> quantities </w:t>
      </w:r>
      <w:r w:rsidR="00016197">
        <w:t>were applied.</w:t>
      </w:r>
    </w:p>
    <w:p w14:paraId="5196F4BE" w14:textId="6BCABB7C" w:rsidR="00C70F2F" w:rsidRPr="00B57B36" w:rsidRDefault="00C70F2F" w:rsidP="001B206F">
      <w:pPr>
        <w:pStyle w:val="CETBodytext"/>
        <w:spacing w:before="120"/>
      </w:pPr>
      <w:r w:rsidRPr="00B57B36">
        <w:t xml:space="preserve">Table 1: </w:t>
      </w:r>
      <w:r w:rsidR="00B65337">
        <w:t>Ch</w:t>
      </w:r>
      <w:r w:rsidR="00BD6009">
        <w:t>aracterization of h</w:t>
      </w:r>
      <w:r w:rsidR="00C66FB8" w:rsidRPr="00C66FB8">
        <w:t xml:space="preserve">azardous substances </w:t>
      </w:r>
      <w:r w:rsidR="00C66FB8">
        <w:t>stored</w:t>
      </w:r>
      <w:r w:rsidR="00C66FB8" w:rsidRPr="00C66FB8">
        <w:t xml:space="preserve"> in </w:t>
      </w:r>
      <w:r w:rsidR="00016197" w:rsidRPr="00C66FB8">
        <w:t>Plant</w:t>
      </w:r>
      <w:r w:rsidR="00C66FB8">
        <w:t xml:space="preserve"> A and P</w:t>
      </w:r>
      <w:r w:rsidR="001846DA">
        <w:t>lant B respectively</w:t>
      </w:r>
      <w:r w:rsidR="00B65337">
        <w:t xml:space="preserve"> (</w:t>
      </w:r>
      <w:r w:rsidR="00016197">
        <w:t>i</w:t>
      </w:r>
      <w:r w:rsidR="00B65337">
        <w:t>n tons)</w:t>
      </w:r>
      <w:r w:rsidR="001846DA">
        <w:t>.</w:t>
      </w:r>
      <w:r w:rsidR="00C66FB8" w:rsidRPr="00C66FB8" w:rsidDel="00C66FB8">
        <w:t xml:space="preserve"> </w:t>
      </w:r>
    </w:p>
    <w:tbl>
      <w:tblPr>
        <w:tblW w:w="0" w:type="auto"/>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993"/>
        <w:gridCol w:w="447"/>
        <w:gridCol w:w="1831"/>
        <w:gridCol w:w="1691"/>
        <w:gridCol w:w="784"/>
        <w:gridCol w:w="884"/>
        <w:gridCol w:w="884"/>
        <w:gridCol w:w="962"/>
      </w:tblGrid>
      <w:tr w:rsidR="00C70F2F" w:rsidRPr="00024946" w14:paraId="780AB1F1" w14:textId="77777777" w:rsidTr="001B206F">
        <w:trPr>
          <w:trHeight w:val="380"/>
          <w:tblHeader/>
        </w:trPr>
        <w:tc>
          <w:tcPr>
            <w:tcW w:w="993" w:type="dxa"/>
            <w:tcBorders>
              <w:top w:val="single" w:sz="12" w:space="0" w:color="008000"/>
              <w:bottom w:val="single" w:sz="6" w:space="0" w:color="008000"/>
            </w:tcBorders>
            <w:shd w:val="clear" w:color="auto" w:fill="FFFFFF"/>
            <w:vAlign w:val="center"/>
          </w:tcPr>
          <w:p w14:paraId="2738070C" w14:textId="5B8772CA" w:rsidR="00C70F2F" w:rsidRPr="00C93060" w:rsidRDefault="00C70F2F" w:rsidP="00C93060">
            <w:pPr>
              <w:pStyle w:val="CETBodytext"/>
              <w:spacing w:line="240" w:lineRule="auto"/>
              <w:jc w:val="center"/>
              <w:rPr>
                <w:rFonts w:cs="Arial"/>
                <w:szCs w:val="18"/>
                <w:lang w:val="en-GB"/>
              </w:rPr>
            </w:pPr>
            <w:r w:rsidRPr="00C93060">
              <w:rPr>
                <w:rFonts w:eastAsia="Calibri" w:cs="Arial"/>
                <w:b/>
                <w:bCs/>
                <w:szCs w:val="18"/>
              </w:rPr>
              <w:t xml:space="preserve">Case </w:t>
            </w:r>
            <w:r w:rsidR="00E13573">
              <w:rPr>
                <w:rFonts w:eastAsia="Calibri" w:cs="Arial"/>
                <w:b/>
                <w:bCs/>
                <w:szCs w:val="18"/>
              </w:rPr>
              <w:t>s</w:t>
            </w:r>
            <w:r w:rsidRPr="00C93060">
              <w:rPr>
                <w:rFonts w:eastAsia="Calibri" w:cs="Arial"/>
                <w:b/>
                <w:bCs/>
                <w:szCs w:val="18"/>
              </w:rPr>
              <w:t>tudy</w:t>
            </w:r>
          </w:p>
        </w:tc>
        <w:tc>
          <w:tcPr>
            <w:tcW w:w="2278" w:type="dxa"/>
            <w:gridSpan w:val="2"/>
            <w:tcBorders>
              <w:top w:val="single" w:sz="12" w:space="0" w:color="008000"/>
              <w:bottom w:val="single" w:sz="6" w:space="0" w:color="008000"/>
            </w:tcBorders>
            <w:shd w:val="clear" w:color="auto" w:fill="FFFFFF"/>
            <w:vAlign w:val="center"/>
          </w:tcPr>
          <w:p w14:paraId="2B733206" w14:textId="77777777" w:rsidR="00C70F2F" w:rsidRPr="00C93060" w:rsidRDefault="00C70F2F" w:rsidP="00C93060">
            <w:pPr>
              <w:tabs>
                <w:tab w:val="clear" w:pos="7100"/>
              </w:tabs>
              <w:autoSpaceDE w:val="0"/>
              <w:autoSpaceDN w:val="0"/>
              <w:adjustRightInd w:val="0"/>
              <w:spacing w:line="240" w:lineRule="auto"/>
              <w:jc w:val="center"/>
              <w:rPr>
                <w:rFonts w:cs="Arial"/>
                <w:szCs w:val="18"/>
              </w:rPr>
            </w:pPr>
            <w:r w:rsidRPr="00C93060">
              <w:rPr>
                <w:rFonts w:eastAsia="Calibri" w:cs="Arial"/>
                <w:b/>
                <w:bCs/>
                <w:szCs w:val="18"/>
                <w:lang w:val="en-US"/>
              </w:rPr>
              <w:t>Hazardous substance</w:t>
            </w:r>
          </w:p>
        </w:tc>
        <w:tc>
          <w:tcPr>
            <w:tcW w:w="1691" w:type="dxa"/>
            <w:tcBorders>
              <w:top w:val="single" w:sz="12" w:space="0" w:color="008000"/>
              <w:bottom w:val="single" w:sz="6" w:space="0" w:color="008000"/>
            </w:tcBorders>
            <w:shd w:val="clear" w:color="auto" w:fill="FFFFFF"/>
            <w:vAlign w:val="center"/>
          </w:tcPr>
          <w:p w14:paraId="7D52E1C6" w14:textId="4D8E0257" w:rsidR="00C70F2F" w:rsidRPr="00C93060" w:rsidRDefault="00C70F2F" w:rsidP="00C93060">
            <w:pPr>
              <w:pStyle w:val="CETBodytext"/>
              <w:spacing w:line="240" w:lineRule="auto"/>
              <w:jc w:val="center"/>
              <w:rPr>
                <w:rFonts w:cs="Arial"/>
                <w:szCs w:val="18"/>
                <w:lang w:val="en-GB"/>
              </w:rPr>
            </w:pPr>
            <w:r w:rsidRPr="00C93060">
              <w:rPr>
                <w:rFonts w:eastAsia="Calibri" w:cs="Arial"/>
                <w:b/>
                <w:bCs/>
                <w:szCs w:val="18"/>
              </w:rPr>
              <w:t xml:space="preserve">Hazard </w:t>
            </w:r>
            <w:r w:rsidR="00E13573">
              <w:rPr>
                <w:rFonts w:eastAsia="Calibri" w:cs="Arial"/>
                <w:b/>
                <w:bCs/>
                <w:szCs w:val="18"/>
              </w:rPr>
              <w:t>s</w:t>
            </w:r>
            <w:r w:rsidRPr="00C93060">
              <w:rPr>
                <w:rFonts w:eastAsia="Calibri" w:cs="Arial"/>
                <w:b/>
                <w:bCs/>
                <w:szCs w:val="18"/>
              </w:rPr>
              <w:t>tatements</w:t>
            </w:r>
          </w:p>
        </w:tc>
        <w:tc>
          <w:tcPr>
            <w:tcW w:w="784" w:type="dxa"/>
            <w:tcBorders>
              <w:top w:val="single" w:sz="12" w:space="0" w:color="008000"/>
              <w:bottom w:val="single" w:sz="6" w:space="0" w:color="008000"/>
            </w:tcBorders>
            <w:shd w:val="clear" w:color="auto" w:fill="FFFFFF"/>
            <w:vAlign w:val="center"/>
          </w:tcPr>
          <w:p w14:paraId="432D7BD4" w14:textId="7E4534B9" w:rsidR="00C70F2F" w:rsidRPr="00C93060" w:rsidRDefault="00C70F2F" w:rsidP="001B206F">
            <w:pPr>
              <w:tabs>
                <w:tab w:val="clear" w:pos="7100"/>
              </w:tabs>
              <w:autoSpaceDE w:val="0"/>
              <w:autoSpaceDN w:val="0"/>
              <w:adjustRightInd w:val="0"/>
              <w:spacing w:line="240" w:lineRule="auto"/>
              <w:jc w:val="right"/>
              <w:rPr>
                <w:rFonts w:cs="Arial"/>
                <w:szCs w:val="18"/>
              </w:rPr>
            </w:pPr>
            <w:r w:rsidRPr="00C93060">
              <w:rPr>
                <w:rFonts w:cs="Arial"/>
                <w:b/>
                <w:bCs/>
                <w:i/>
                <w:iCs/>
                <w:szCs w:val="18"/>
              </w:rPr>
              <w:t>Q</w:t>
            </w:r>
            <w:r w:rsidRPr="00136E3F">
              <w:rPr>
                <w:rFonts w:cs="Arial"/>
                <w:b/>
                <w:bCs/>
                <w:i/>
                <w:iCs/>
                <w:szCs w:val="18"/>
                <w:vertAlign w:val="subscript"/>
              </w:rPr>
              <w:t>Ux(s)</w:t>
            </w:r>
            <w:r w:rsidRPr="00136E3F">
              <w:rPr>
                <w:rFonts w:eastAsia="Calibri" w:cs="Arial"/>
                <w:b/>
                <w:bCs/>
                <w:szCs w:val="18"/>
                <w:vertAlign w:val="subscript"/>
              </w:rPr>
              <w:t xml:space="preserve"> </w:t>
            </w:r>
          </w:p>
        </w:tc>
        <w:tc>
          <w:tcPr>
            <w:tcW w:w="884" w:type="dxa"/>
            <w:tcBorders>
              <w:top w:val="single" w:sz="12" w:space="0" w:color="008000"/>
              <w:bottom w:val="single" w:sz="6" w:space="0" w:color="008000"/>
            </w:tcBorders>
            <w:shd w:val="clear" w:color="auto" w:fill="FFFFFF"/>
            <w:vAlign w:val="center"/>
          </w:tcPr>
          <w:p w14:paraId="42F43F78" w14:textId="0A79A985" w:rsidR="00C70F2F" w:rsidRPr="00C93060" w:rsidRDefault="00C70F2F" w:rsidP="00C93060">
            <w:pPr>
              <w:pStyle w:val="CETBodytext"/>
              <w:spacing w:line="240" w:lineRule="auto"/>
              <w:ind w:right="-1"/>
              <w:jc w:val="right"/>
              <w:rPr>
                <w:rFonts w:cs="Arial"/>
                <w:szCs w:val="18"/>
                <w:lang w:val="en-GB"/>
              </w:rPr>
            </w:pPr>
            <w:r w:rsidRPr="00C93060">
              <w:rPr>
                <w:rFonts w:cs="Arial"/>
                <w:b/>
                <w:bCs/>
                <w:i/>
                <w:iCs/>
                <w:szCs w:val="18"/>
                <w:lang w:val="en-GB"/>
              </w:rPr>
              <w:t>q</w:t>
            </w:r>
            <w:r w:rsidRPr="00136E3F">
              <w:rPr>
                <w:rFonts w:cs="Arial"/>
                <w:b/>
                <w:bCs/>
                <w:i/>
                <w:iCs/>
                <w:szCs w:val="18"/>
                <w:vertAlign w:val="subscript"/>
                <w:lang w:val="en-GB"/>
              </w:rPr>
              <w:t>x(s)</w:t>
            </w:r>
            <w:r w:rsidRPr="00136E3F">
              <w:rPr>
                <w:rFonts w:eastAsia="Calibri" w:cs="Arial"/>
                <w:b/>
                <w:bCs/>
                <w:szCs w:val="18"/>
                <w:vertAlign w:val="subscript"/>
              </w:rPr>
              <w:t xml:space="preserve"> </w:t>
            </w:r>
          </w:p>
        </w:tc>
        <w:tc>
          <w:tcPr>
            <w:tcW w:w="884" w:type="dxa"/>
            <w:tcBorders>
              <w:top w:val="single" w:sz="12" w:space="0" w:color="008000"/>
              <w:bottom w:val="single" w:sz="6" w:space="0" w:color="008000"/>
            </w:tcBorders>
            <w:shd w:val="clear" w:color="auto" w:fill="FFFFFF"/>
            <w:vAlign w:val="center"/>
          </w:tcPr>
          <w:p w14:paraId="2F33B510" w14:textId="6E22A357" w:rsidR="00C70F2F" w:rsidRPr="00C93060" w:rsidRDefault="00C70F2F" w:rsidP="00C93060">
            <w:pPr>
              <w:pStyle w:val="CETBodytext"/>
              <w:spacing w:line="240" w:lineRule="auto"/>
              <w:ind w:right="-1"/>
              <w:jc w:val="right"/>
              <w:rPr>
                <w:rFonts w:cs="Arial"/>
                <w:szCs w:val="18"/>
                <w:lang w:val="en-GB"/>
              </w:rPr>
            </w:pPr>
            <w:r w:rsidRPr="00C93060">
              <w:rPr>
                <w:rFonts w:cs="Arial"/>
                <w:b/>
                <w:bCs/>
                <w:i/>
                <w:iCs/>
                <w:szCs w:val="18"/>
                <w:lang w:val="en-GB"/>
              </w:rPr>
              <w:t>Q</w:t>
            </w:r>
            <w:r w:rsidRPr="00136E3F">
              <w:rPr>
                <w:rFonts w:cs="Arial"/>
                <w:b/>
                <w:bCs/>
                <w:i/>
                <w:iCs/>
                <w:szCs w:val="18"/>
                <w:vertAlign w:val="subscript"/>
                <w:lang w:val="en-GB"/>
              </w:rPr>
              <w:t>C</w:t>
            </w:r>
            <w:r w:rsidRPr="00930FA2">
              <w:rPr>
                <w:rFonts w:cs="Arial"/>
                <w:b/>
                <w:bCs/>
                <w:i/>
                <w:iCs/>
                <w:szCs w:val="18"/>
                <w:vertAlign w:val="subscript"/>
                <w:lang w:val="en-GB"/>
              </w:rPr>
              <w:t>s</w:t>
            </w:r>
            <w:r w:rsidRPr="00930FA2">
              <w:rPr>
                <w:rFonts w:cs="Arial"/>
                <w:b/>
                <w:bCs/>
                <w:i/>
                <w:iCs/>
                <w:szCs w:val="18"/>
                <w:vertAlign w:val="subscript"/>
              </w:rPr>
              <w:t xml:space="preserve"> </w:t>
            </w:r>
          </w:p>
        </w:tc>
        <w:tc>
          <w:tcPr>
            <w:tcW w:w="962" w:type="dxa"/>
            <w:tcBorders>
              <w:top w:val="single" w:sz="12" w:space="0" w:color="008000"/>
              <w:bottom w:val="single" w:sz="6" w:space="0" w:color="008000"/>
            </w:tcBorders>
            <w:shd w:val="clear" w:color="auto" w:fill="FFFFFF"/>
            <w:vAlign w:val="center"/>
          </w:tcPr>
          <w:p w14:paraId="6DB5F1D0" w14:textId="41E13B90" w:rsidR="00C70F2F" w:rsidRPr="00C93060" w:rsidRDefault="00C70F2F" w:rsidP="00C93060">
            <w:pPr>
              <w:pStyle w:val="CETBodytext"/>
              <w:spacing w:line="240" w:lineRule="auto"/>
              <w:ind w:right="-1"/>
              <w:jc w:val="right"/>
              <w:rPr>
                <w:rFonts w:cs="Arial"/>
                <w:szCs w:val="18"/>
                <w:lang w:val="en-GB"/>
              </w:rPr>
            </w:pPr>
            <w:r w:rsidRPr="00C93060">
              <w:rPr>
                <w:rFonts w:cs="Arial"/>
                <w:b/>
                <w:bCs/>
                <w:i/>
                <w:iCs/>
                <w:szCs w:val="18"/>
                <w:lang w:val="en-GB"/>
              </w:rPr>
              <w:t>C</w:t>
            </w:r>
            <w:r w:rsidRPr="00C27D16">
              <w:rPr>
                <w:rFonts w:cs="Arial"/>
                <w:b/>
                <w:bCs/>
                <w:i/>
                <w:iCs/>
                <w:szCs w:val="18"/>
                <w:vertAlign w:val="subscript"/>
              </w:rPr>
              <w:t>s</w:t>
            </w:r>
            <w:r w:rsidRPr="00C27D16">
              <w:rPr>
                <w:rFonts w:cs="Arial"/>
                <w:b/>
                <w:bCs/>
                <w:szCs w:val="18"/>
                <w:vertAlign w:val="subscript"/>
              </w:rPr>
              <w:t xml:space="preserve"> </w:t>
            </w:r>
            <w:r w:rsidR="00E13573">
              <w:rPr>
                <w:rFonts w:cs="Arial"/>
                <w:b/>
                <w:bCs/>
                <w:szCs w:val="18"/>
              </w:rPr>
              <w:t>c</w:t>
            </w:r>
            <w:r w:rsidRPr="00C93060">
              <w:rPr>
                <w:rFonts w:cs="Arial"/>
                <w:b/>
                <w:bCs/>
                <w:szCs w:val="18"/>
              </w:rPr>
              <w:t>ritical</w:t>
            </w:r>
          </w:p>
        </w:tc>
      </w:tr>
      <w:tr w:rsidR="00C70F2F" w:rsidRPr="00024946" w14:paraId="5025F6ED" w14:textId="77777777" w:rsidTr="001B206F">
        <w:trPr>
          <w:trHeight w:val="219"/>
        </w:trPr>
        <w:tc>
          <w:tcPr>
            <w:tcW w:w="1440" w:type="dxa"/>
            <w:gridSpan w:val="2"/>
            <w:vMerge w:val="restart"/>
            <w:shd w:val="clear" w:color="auto" w:fill="FFFFFF"/>
            <w:vAlign w:val="center"/>
          </w:tcPr>
          <w:p w14:paraId="11681018" w14:textId="1B680BCD" w:rsidR="00DE1F9E" w:rsidRPr="00C93060" w:rsidRDefault="00C70F2F" w:rsidP="001B206F">
            <w:pPr>
              <w:pStyle w:val="CETBodytext"/>
              <w:spacing w:line="240" w:lineRule="auto"/>
              <w:jc w:val="left"/>
              <w:rPr>
                <w:rFonts w:eastAsia="Calibri" w:cs="Arial"/>
                <w:szCs w:val="18"/>
                <w:lang w:val="it-IT"/>
              </w:rPr>
            </w:pPr>
            <w:r w:rsidRPr="00C93060">
              <w:rPr>
                <w:rFonts w:eastAsia="Calibri" w:cs="Arial"/>
                <w:szCs w:val="18"/>
                <w:lang w:val="it-IT"/>
              </w:rPr>
              <w:t>Chemical</w:t>
            </w:r>
            <w:r w:rsidR="00DE1F9E" w:rsidRPr="00C93060">
              <w:rPr>
                <w:rFonts w:eastAsia="Calibri" w:cs="Arial"/>
                <w:szCs w:val="18"/>
                <w:lang w:val="it-IT"/>
              </w:rPr>
              <w:t xml:space="preserve"> industry</w:t>
            </w:r>
          </w:p>
          <w:p w14:paraId="4D5974A5" w14:textId="145B6616" w:rsidR="00C70F2F" w:rsidRPr="00C93060" w:rsidRDefault="00DE1F9E" w:rsidP="001B206F">
            <w:pPr>
              <w:pStyle w:val="CETBodytext"/>
              <w:spacing w:line="240" w:lineRule="auto"/>
              <w:jc w:val="left"/>
              <w:rPr>
                <w:rFonts w:cs="Arial"/>
                <w:szCs w:val="18"/>
                <w:lang w:val="en-GB"/>
              </w:rPr>
            </w:pPr>
            <w:r w:rsidRPr="00C93060">
              <w:rPr>
                <w:rFonts w:eastAsia="Calibri" w:cs="Arial"/>
                <w:szCs w:val="18"/>
                <w:lang w:val="it-IT"/>
              </w:rPr>
              <w:t>(Plant A)</w:t>
            </w:r>
          </w:p>
        </w:tc>
        <w:tc>
          <w:tcPr>
            <w:tcW w:w="1831" w:type="dxa"/>
            <w:shd w:val="clear" w:color="auto" w:fill="FFFFFF"/>
            <w:vAlign w:val="center"/>
          </w:tcPr>
          <w:p w14:paraId="7BDCAEC9" w14:textId="603E21BD" w:rsidR="00C70F2F" w:rsidRPr="00C93060" w:rsidRDefault="00C70F2F" w:rsidP="00C93060">
            <w:pPr>
              <w:pStyle w:val="CETBodytext"/>
              <w:spacing w:line="240" w:lineRule="auto"/>
              <w:jc w:val="left"/>
              <w:rPr>
                <w:rFonts w:cs="Arial"/>
                <w:szCs w:val="18"/>
                <w:lang w:val="en-GB"/>
              </w:rPr>
            </w:pPr>
            <w:r w:rsidRPr="00C93060">
              <w:rPr>
                <w:rFonts w:eastAsia="Calibri" w:cs="Arial"/>
                <w:szCs w:val="18"/>
                <w:lang w:val="it-IT"/>
              </w:rPr>
              <w:t>Methanol</w:t>
            </w:r>
          </w:p>
        </w:tc>
        <w:tc>
          <w:tcPr>
            <w:tcW w:w="1691" w:type="dxa"/>
            <w:shd w:val="clear" w:color="auto" w:fill="FFFFFF"/>
            <w:vAlign w:val="center"/>
          </w:tcPr>
          <w:p w14:paraId="5C2A54D9" w14:textId="77777777" w:rsidR="00C70F2F" w:rsidRPr="00C93060" w:rsidRDefault="00C70F2F" w:rsidP="00C93060">
            <w:pPr>
              <w:pStyle w:val="CETBodytext"/>
              <w:spacing w:line="240" w:lineRule="auto"/>
              <w:jc w:val="center"/>
              <w:rPr>
                <w:rFonts w:cs="Arial"/>
                <w:szCs w:val="18"/>
                <w:lang w:val="en-GB"/>
              </w:rPr>
            </w:pPr>
            <w:r w:rsidRPr="00C93060">
              <w:rPr>
                <w:rFonts w:eastAsia="Calibri" w:cs="Arial"/>
                <w:szCs w:val="18"/>
                <w:lang w:val="it-IT"/>
              </w:rPr>
              <w:t>H225, H311, H331</w:t>
            </w:r>
          </w:p>
        </w:tc>
        <w:tc>
          <w:tcPr>
            <w:tcW w:w="784" w:type="dxa"/>
            <w:shd w:val="clear" w:color="auto" w:fill="FFFFFF"/>
            <w:vAlign w:val="center"/>
          </w:tcPr>
          <w:p w14:paraId="5F05DE2C" w14:textId="52FD104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200</w:t>
            </w:r>
          </w:p>
        </w:tc>
        <w:tc>
          <w:tcPr>
            <w:tcW w:w="884" w:type="dxa"/>
            <w:shd w:val="clear" w:color="auto" w:fill="FFFFFF"/>
            <w:vAlign w:val="center"/>
          </w:tcPr>
          <w:p w14:paraId="7F2939EA" w14:textId="6B7448A6"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339.0</w:t>
            </w:r>
          </w:p>
        </w:tc>
        <w:tc>
          <w:tcPr>
            <w:tcW w:w="884" w:type="dxa"/>
            <w:shd w:val="clear" w:color="auto" w:fill="FFFFFF"/>
            <w:vAlign w:val="center"/>
          </w:tcPr>
          <w:p w14:paraId="6B9FB07B"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1.6950</w:t>
            </w:r>
          </w:p>
        </w:tc>
        <w:tc>
          <w:tcPr>
            <w:tcW w:w="962" w:type="dxa"/>
            <w:shd w:val="clear" w:color="auto" w:fill="FFFFFF"/>
            <w:vAlign w:val="center"/>
          </w:tcPr>
          <w:p w14:paraId="68423CDE"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a</w:t>
            </w:r>
          </w:p>
        </w:tc>
      </w:tr>
      <w:tr w:rsidR="00C70F2F" w:rsidRPr="00024946" w14:paraId="48C80C85" w14:textId="77777777" w:rsidTr="001B206F">
        <w:trPr>
          <w:trHeight w:val="279"/>
        </w:trPr>
        <w:tc>
          <w:tcPr>
            <w:tcW w:w="1440" w:type="dxa"/>
            <w:gridSpan w:val="2"/>
            <w:vMerge/>
            <w:shd w:val="clear" w:color="auto" w:fill="FFFFFF"/>
            <w:vAlign w:val="center"/>
          </w:tcPr>
          <w:p w14:paraId="5B7EB99D" w14:textId="77777777" w:rsidR="00C70F2F" w:rsidRPr="00C93060" w:rsidRDefault="00C70F2F" w:rsidP="00C93060">
            <w:pPr>
              <w:pStyle w:val="CETBodytext"/>
              <w:spacing w:line="240" w:lineRule="auto"/>
              <w:jc w:val="left"/>
              <w:rPr>
                <w:rFonts w:cs="Arial"/>
                <w:szCs w:val="18"/>
                <w:lang w:val="en-GB"/>
              </w:rPr>
            </w:pPr>
          </w:p>
        </w:tc>
        <w:tc>
          <w:tcPr>
            <w:tcW w:w="1831" w:type="dxa"/>
            <w:shd w:val="clear" w:color="auto" w:fill="FFFFFF"/>
            <w:vAlign w:val="center"/>
          </w:tcPr>
          <w:p w14:paraId="4A9F79B3" w14:textId="316A4D05" w:rsidR="00C70F2F" w:rsidRPr="00C93060" w:rsidRDefault="00C70F2F" w:rsidP="00136E3F">
            <w:pPr>
              <w:tabs>
                <w:tab w:val="clear" w:pos="7100"/>
              </w:tabs>
              <w:autoSpaceDE w:val="0"/>
              <w:autoSpaceDN w:val="0"/>
              <w:adjustRightInd w:val="0"/>
              <w:spacing w:line="240" w:lineRule="auto"/>
              <w:jc w:val="left"/>
              <w:rPr>
                <w:rFonts w:cs="Arial"/>
                <w:szCs w:val="18"/>
              </w:rPr>
            </w:pPr>
            <w:r w:rsidRPr="00C93060">
              <w:rPr>
                <w:rFonts w:eastAsia="Calibri" w:cs="Arial"/>
                <w:szCs w:val="18"/>
                <w:lang w:val="it-IT"/>
              </w:rPr>
              <w:t>Toluene</w:t>
            </w:r>
          </w:p>
        </w:tc>
        <w:tc>
          <w:tcPr>
            <w:tcW w:w="1691" w:type="dxa"/>
            <w:shd w:val="clear" w:color="auto" w:fill="FFFFFF"/>
            <w:vAlign w:val="center"/>
          </w:tcPr>
          <w:p w14:paraId="630CB100" w14:textId="77777777" w:rsidR="00C70F2F" w:rsidRPr="00C93060" w:rsidRDefault="00C70F2F" w:rsidP="00C93060">
            <w:pPr>
              <w:pStyle w:val="CETBodytext"/>
              <w:spacing w:line="240" w:lineRule="auto"/>
              <w:jc w:val="center"/>
              <w:rPr>
                <w:rFonts w:cs="Arial"/>
                <w:szCs w:val="18"/>
                <w:lang w:val="en-GB"/>
              </w:rPr>
            </w:pPr>
            <w:r w:rsidRPr="00C93060">
              <w:rPr>
                <w:rFonts w:eastAsia="Calibri" w:cs="Arial"/>
                <w:szCs w:val="18"/>
                <w:lang w:val="it-IT"/>
              </w:rPr>
              <w:t>H225, H315, H336</w:t>
            </w:r>
          </w:p>
        </w:tc>
        <w:tc>
          <w:tcPr>
            <w:tcW w:w="784" w:type="dxa"/>
            <w:shd w:val="clear" w:color="auto" w:fill="FFFFFF"/>
            <w:vAlign w:val="center"/>
          </w:tcPr>
          <w:p w14:paraId="78EF3931" w14:textId="2CBEE7D4"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200</w:t>
            </w:r>
          </w:p>
        </w:tc>
        <w:tc>
          <w:tcPr>
            <w:tcW w:w="884" w:type="dxa"/>
            <w:shd w:val="clear" w:color="auto" w:fill="FFFFFF"/>
            <w:vAlign w:val="center"/>
          </w:tcPr>
          <w:p w14:paraId="0C721819" w14:textId="6713F878"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171.0</w:t>
            </w:r>
          </w:p>
        </w:tc>
        <w:tc>
          <w:tcPr>
            <w:tcW w:w="884" w:type="dxa"/>
            <w:shd w:val="clear" w:color="auto" w:fill="FFFFFF"/>
            <w:vAlign w:val="center"/>
          </w:tcPr>
          <w:p w14:paraId="10131DF9"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0.8550</w:t>
            </w:r>
          </w:p>
        </w:tc>
        <w:tc>
          <w:tcPr>
            <w:tcW w:w="962" w:type="dxa"/>
            <w:shd w:val="clear" w:color="auto" w:fill="FFFFFF"/>
            <w:vAlign w:val="center"/>
          </w:tcPr>
          <w:p w14:paraId="48719759"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a</w:t>
            </w:r>
          </w:p>
        </w:tc>
      </w:tr>
      <w:tr w:rsidR="00C70F2F" w:rsidRPr="00024946" w14:paraId="6A1B2A75" w14:textId="77777777" w:rsidTr="001B206F">
        <w:trPr>
          <w:trHeight w:val="140"/>
        </w:trPr>
        <w:tc>
          <w:tcPr>
            <w:tcW w:w="1440" w:type="dxa"/>
            <w:gridSpan w:val="2"/>
            <w:vMerge/>
            <w:shd w:val="clear" w:color="auto" w:fill="FFFFFF"/>
            <w:vAlign w:val="center"/>
          </w:tcPr>
          <w:p w14:paraId="3D952654" w14:textId="77777777" w:rsidR="00C70F2F" w:rsidRPr="00C93060" w:rsidRDefault="00C70F2F" w:rsidP="00C93060">
            <w:pPr>
              <w:pStyle w:val="CETBodytext"/>
              <w:spacing w:line="240" w:lineRule="auto"/>
              <w:jc w:val="left"/>
              <w:rPr>
                <w:rFonts w:cs="Arial"/>
                <w:szCs w:val="18"/>
                <w:lang w:val="en-GB"/>
              </w:rPr>
            </w:pPr>
          </w:p>
        </w:tc>
        <w:tc>
          <w:tcPr>
            <w:tcW w:w="1831" w:type="dxa"/>
            <w:shd w:val="clear" w:color="auto" w:fill="FFFFFF"/>
            <w:vAlign w:val="center"/>
          </w:tcPr>
          <w:p w14:paraId="1DEC4074" w14:textId="77777777" w:rsidR="00C70F2F" w:rsidRPr="00C93060" w:rsidRDefault="00C70F2F" w:rsidP="00C93060">
            <w:pPr>
              <w:pStyle w:val="CETBodytext"/>
              <w:spacing w:line="240" w:lineRule="auto"/>
              <w:jc w:val="left"/>
              <w:rPr>
                <w:rFonts w:cs="Arial"/>
                <w:szCs w:val="18"/>
                <w:lang w:val="en-GB"/>
              </w:rPr>
            </w:pPr>
            <w:r w:rsidRPr="00C93060">
              <w:rPr>
                <w:rFonts w:eastAsia="Calibri" w:cs="Arial"/>
                <w:szCs w:val="18"/>
                <w:lang w:val="it-IT"/>
              </w:rPr>
              <w:t>Methyl Methacrylate</w:t>
            </w:r>
          </w:p>
        </w:tc>
        <w:tc>
          <w:tcPr>
            <w:tcW w:w="1691" w:type="dxa"/>
            <w:shd w:val="clear" w:color="auto" w:fill="FFFFFF"/>
            <w:vAlign w:val="center"/>
          </w:tcPr>
          <w:p w14:paraId="0B71771D" w14:textId="77777777" w:rsidR="00C70F2F" w:rsidRPr="00C93060" w:rsidRDefault="00C70F2F" w:rsidP="00C93060">
            <w:pPr>
              <w:pStyle w:val="CETBodytext"/>
              <w:spacing w:line="240" w:lineRule="auto"/>
              <w:jc w:val="center"/>
              <w:rPr>
                <w:rFonts w:cs="Arial"/>
                <w:szCs w:val="18"/>
                <w:lang w:val="en-GB"/>
              </w:rPr>
            </w:pPr>
            <w:r w:rsidRPr="00C93060">
              <w:rPr>
                <w:rFonts w:eastAsia="Calibri" w:cs="Arial"/>
                <w:szCs w:val="18"/>
                <w:lang w:val="it-IT"/>
              </w:rPr>
              <w:t>H225, H335, H317</w:t>
            </w:r>
          </w:p>
        </w:tc>
        <w:tc>
          <w:tcPr>
            <w:tcW w:w="784" w:type="dxa"/>
            <w:shd w:val="clear" w:color="auto" w:fill="FFFFFF"/>
            <w:vAlign w:val="center"/>
          </w:tcPr>
          <w:p w14:paraId="1AF34644" w14:textId="067ECB85"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500</w:t>
            </w:r>
          </w:p>
        </w:tc>
        <w:tc>
          <w:tcPr>
            <w:tcW w:w="884" w:type="dxa"/>
            <w:shd w:val="clear" w:color="auto" w:fill="FFFFFF"/>
            <w:vAlign w:val="center"/>
          </w:tcPr>
          <w:p w14:paraId="01DB510F" w14:textId="043010A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25.4</w:t>
            </w:r>
          </w:p>
        </w:tc>
        <w:tc>
          <w:tcPr>
            <w:tcW w:w="884" w:type="dxa"/>
            <w:shd w:val="clear" w:color="auto" w:fill="FFFFFF"/>
            <w:vAlign w:val="center"/>
          </w:tcPr>
          <w:p w14:paraId="55C16252"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0.0508</w:t>
            </w:r>
          </w:p>
        </w:tc>
        <w:tc>
          <w:tcPr>
            <w:tcW w:w="962" w:type="dxa"/>
            <w:shd w:val="clear" w:color="auto" w:fill="FFFFFF"/>
            <w:vAlign w:val="center"/>
          </w:tcPr>
          <w:p w14:paraId="76E5D4A1" w14:textId="77777777" w:rsidR="00C70F2F" w:rsidRPr="00136E3F" w:rsidRDefault="00C70F2F" w:rsidP="00C93060">
            <w:pPr>
              <w:pStyle w:val="CETBodytext"/>
              <w:spacing w:line="240" w:lineRule="auto"/>
              <w:ind w:right="-1"/>
              <w:jc w:val="center"/>
              <w:rPr>
                <w:rFonts w:cs="Arial"/>
                <w:i/>
                <w:iCs/>
                <w:szCs w:val="18"/>
                <w:lang w:val="en-GB"/>
              </w:rPr>
            </w:pPr>
            <w:r w:rsidRPr="00136E3F">
              <w:rPr>
                <w:rFonts w:eastAsia="Calibri" w:cs="Arial"/>
                <w:i/>
                <w:iCs/>
                <w:szCs w:val="18"/>
              </w:rPr>
              <w:t>C</w:t>
            </w:r>
            <w:r w:rsidRPr="00136E3F">
              <w:rPr>
                <w:rFonts w:eastAsia="Calibri" w:cs="Arial"/>
                <w:i/>
                <w:iCs/>
                <w:szCs w:val="18"/>
                <w:vertAlign w:val="subscript"/>
              </w:rPr>
              <w:t>b</w:t>
            </w:r>
          </w:p>
        </w:tc>
      </w:tr>
      <w:tr w:rsidR="00C70F2F" w:rsidRPr="00024946" w14:paraId="148C4E2D" w14:textId="77777777" w:rsidTr="001B206F">
        <w:trPr>
          <w:trHeight w:val="140"/>
        </w:trPr>
        <w:tc>
          <w:tcPr>
            <w:tcW w:w="1440" w:type="dxa"/>
            <w:gridSpan w:val="2"/>
            <w:vMerge/>
            <w:shd w:val="clear" w:color="auto" w:fill="FFFFFF"/>
            <w:vAlign w:val="center"/>
          </w:tcPr>
          <w:p w14:paraId="2F38C204" w14:textId="77777777" w:rsidR="00C70F2F" w:rsidRPr="00C93060" w:rsidRDefault="00C70F2F" w:rsidP="00C93060">
            <w:pPr>
              <w:pStyle w:val="CETBodytext"/>
              <w:spacing w:line="240" w:lineRule="auto"/>
              <w:jc w:val="left"/>
              <w:rPr>
                <w:rFonts w:cs="Arial"/>
                <w:szCs w:val="18"/>
                <w:lang w:val="en-GB"/>
              </w:rPr>
            </w:pPr>
          </w:p>
        </w:tc>
        <w:tc>
          <w:tcPr>
            <w:tcW w:w="1831" w:type="dxa"/>
            <w:shd w:val="clear" w:color="auto" w:fill="FFFFFF"/>
            <w:vAlign w:val="center"/>
          </w:tcPr>
          <w:p w14:paraId="2F77E26E" w14:textId="77777777" w:rsidR="00C70F2F" w:rsidRPr="00C93060" w:rsidRDefault="00C70F2F" w:rsidP="00C93060">
            <w:pPr>
              <w:pStyle w:val="CETBodytext"/>
              <w:spacing w:line="240" w:lineRule="auto"/>
              <w:jc w:val="left"/>
              <w:rPr>
                <w:rFonts w:cs="Arial"/>
                <w:szCs w:val="18"/>
                <w:lang w:val="en-GB"/>
              </w:rPr>
            </w:pPr>
            <w:r w:rsidRPr="00C93060">
              <w:rPr>
                <w:rStyle w:val="fontstyle01"/>
                <w:rFonts w:ascii="Arial" w:hAnsi="Arial" w:cs="Arial"/>
                <w:sz w:val="18"/>
                <w:szCs w:val="18"/>
              </w:rPr>
              <w:t>Automotive Diesel</w:t>
            </w:r>
          </w:p>
        </w:tc>
        <w:tc>
          <w:tcPr>
            <w:tcW w:w="1691" w:type="dxa"/>
            <w:shd w:val="clear" w:color="auto" w:fill="FFFFFF"/>
            <w:vAlign w:val="center"/>
          </w:tcPr>
          <w:p w14:paraId="25365AAC"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H411, H226, H315</w:t>
            </w:r>
          </w:p>
        </w:tc>
        <w:tc>
          <w:tcPr>
            <w:tcW w:w="784" w:type="dxa"/>
            <w:shd w:val="clear" w:color="auto" w:fill="FFFFFF"/>
            <w:vAlign w:val="center"/>
          </w:tcPr>
          <w:p w14:paraId="3141419E" w14:textId="4F846002"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50000</w:t>
            </w:r>
          </w:p>
        </w:tc>
        <w:tc>
          <w:tcPr>
            <w:tcW w:w="884" w:type="dxa"/>
            <w:shd w:val="clear" w:color="auto" w:fill="FFFFFF"/>
            <w:vAlign w:val="center"/>
          </w:tcPr>
          <w:p w14:paraId="2F7F08AA" w14:textId="42FB903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3.5</w:t>
            </w:r>
          </w:p>
        </w:tc>
        <w:tc>
          <w:tcPr>
            <w:tcW w:w="884" w:type="dxa"/>
            <w:shd w:val="clear" w:color="auto" w:fill="FFFFFF"/>
            <w:vAlign w:val="center"/>
          </w:tcPr>
          <w:p w14:paraId="377C396D"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0.0001</w:t>
            </w:r>
          </w:p>
        </w:tc>
        <w:tc>
          <w:tcPr>
            <w:tcW w:w="962" w:type="dxa"/>
            <w:shd w:val="clear" w:color="auto" w:fill="FFFFFF"/>
            <w:vAlign w:val="center"/>
          </w:tcPr>
          <w:p w14:paraId="33B3D201"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b</w:t>
            </w:r>
          </w:p>
        </w:tc>
      </w:tr>
      <w:tr w:rsidR="00C70F2F" w:rsidRPr="00024946" w14:paraId="4A774C4D" w14:textId="77777777" w:rsidTr="001B206F">
        <w:trPr>
          <w:trHeight w:val="140"/>
        </w:trPr>
        <w:tc>
          <w:tcPr>
            <w:tcW w:w="1440" w:type="dxa"/>
            <w:gridSpan w:val="2"/>
            <w:vMerge/>
            <w:shd w:val="clear" w:color="auto" w:fill="FFFFFF"/>
            <w:vAlign w:val="center"/>
          </w:tcPr>
          <w:p w14:paraId="659FD7B5" w14:textId="77777777" w:rsidR="00C70F2F" w:rsidRPr="00C93060" w:rsidRDefault="00C70F2F" w:rsidP="00C93060">
            <w:pPr>
              <w:pStyle w:val="CETBodytext"/>
              <w:spacing w:line="240" w:lineRule="auto"/>
              <w:jc w:val="left"/>
              <w:rPr>
                <w:rFonts w:cs="Arial"/>
                <w:szCs w:val="18"/>
                <w:lang w:val="en-GB"/>
              </w:rPr>
            </w:pPr>
          </w:p>
        </w:tc>
        <w:tc>
          <w:tcPr>
            <w:tcW w:w="1831" w:type="dxa"/>
            <w:shd w:val="clear" w:color="auto" w:fill="FFFFFF"/>
            <w:vAlign w:val="center"/>
          </w:tcPr>
          <w:p w14:paraId="40231FE8" w14:textId="77777777" w:rsidR="00C70F2F" w:rsidRPr="00C93060" w:rsidRDefault="00C70F2F" w:rsidP="00C93060">
            <w:pPr>
              <w:pStyle w:val="CETBodytext"/>
              <w:spacing w:line="240" w:lineRule="auto"/>
              <w:jc w:val="left"/>
              <w:rPr>
                <w:rFonts w:cs="Arial"/>
                <w:szCs w:val="18"/>
                <w:lang w:val="en-GB"/>
              </w:rPr>
            </w:pPr>
            <w:r w:rsidRPr="00C93060">
              <w:rPr>
                <w:rStyle w:val="fontstyle01"/>
                <w:rFonts w:ascii="Arial" w:hAnsi="Arial" w:cs="Arial"/>
                <w:sz w:val="18"/>
                <w:szCs w:val="18"/>
                <w:lang w:val="it-IT"/>
              </w:rPr>
              <w:t>Azobis-methylbutyronitrile (AMBN)</w:t>
            </w:r>
          </w:p>
        </w:tc>
        <w:tc>
          <w:tcPr>
            <w:tcW w:w="1691" w:type="dxa"/>
            <w:shd w:val="clear" w:color="auto" w:fill="FFFFFF"/>
            <w:vAlign w:val="center"/>
          </w:tcPr>
          <w:p w14:paraId="1E8BE95D"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H242, H302, H225,</w:t>
            </w:r>
          </w:p>
        </w:tc>
        <w:tc>
          <w:tcPr>
            <w:tcW w:w="784" w:type="dxa"/>
            <w:shd w:val="clear" w:color="auto" w:fill="FFFFFF"/>
            <w:vAlign w:val="center"/>
          </w:tcPr>
          <w:p w14:paraId="788465B4" w14:textId="52833AAB"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200</w:t>
            </w:r>
          </w:p>
        </w:tc>
        <w:tc>
          <w:tcPr>
            <w:tcW w:w="884" w:type="dxa"/>
            <w:shd w:val="clear" w:color="auto" w:fill="FFFFFF"/>
            <w:vAlign w:val="center"/>
          </w:tcPr>
          <w:p w14:paraId="0A3EB131" w14:textId="47D854A3"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1.0</w:t>
            </w:r>
          </w:p>
        </w:tc>
        <w:tc>
          <w:tcPr>
            <w:tcW w:w="884" w:type="dxa"/>
            <w:shd w:val="clear" w:color="auto" w:fill="FFFFFF"/>
            <w:vAlign w:val="center"/>
          </w:tcPr>
          <w:p w14:paraId="22204F96"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0.0050</w:t>
            </w:r>
          </w:p>
        </w:tc>
        <w:tc>
          <w:tcPr>
            <w:tcW w:w="962" w:type="dxa"/>
            <w:shd w:val="clear" w:color="auto" w:fill="FFFFFF"/>
            <w:vAlign w:val="center"/>
          </w:tcPr>
          <w:p w14:paraId="4C99FC77" w14:textId="77777777" w:rsidR="00C70F2F" w:rsidRPr="00136E3F" w:rsidRDefault="00C70F2F" w:rsidP="00C93060">
            <w:pPr>
              <w:pStyle w:val="CETBodytext"/>
              <w:spacing w:line="240" w:lineRule="auto"/>
              <w:ind w:right="-1"/>
              <w:jc w:val="center"/>
              <w:rPr>
                <w:rFonts w:cs="Arial"/>
                <w:i/>
                <w:iCs/>
                <w:szCs w:val="18"/>
                <w:lang w:val="en-GB"/>
              </w:rPr>
            </w:pPr>
            <w:r w:rsidRPr="00136E3F">
              <w:rPr>
                <w:rFonts w:eastAsia="Calibri" w:cs="Arial"/>
                <w:i/>
                <w:iCs/>
                <w:szCs w:val="18"/>
              </w:rPr>
              <w:t>C</w:t>
            </w:r>
            <w:r w:rsidRPr="00136E3F">
              <w:rPr>
                <w:rFonts w:eastAsia="Calibri" w:cs="Arial"/>
                <w:i/>
                <w:iCs/>
                <w:szCs w:val="18"/>
                <w:vertAlign w:val="subscript"/>
              </w:rPr>
              <w:t>b</w:t>
            </w:r>
          </w:p>
        </w:tc>
      </w:tr>
      <w:tr w:rsidR="00C70F2F" w:rsidRPr="00024946" w14:paraId="69294A56" w14:textId="77777777" w:rsidTr="001B206F">
        <w:trPr>
          <w:trHeight w:val="288"/>
        </w:trPr>
        <w:tc>
          <w:tcPr>
            <w:tcW w:w="1440" w:type="dxa"/>
            <w:gridSpan w:val="2"/>
            <w:vMerge/>
            <w:shd w:val="clear" w:color="auto" w:fill="FFFFFF"/>
            <w:vAlign w:val="center"/>
          </w:tcPr>
          <w:p w14:paraId="5DB71577" w14:textId="77777777" w:rsidR="00C70F2F" w:rsidRPr="00C93060" w:rsidRDefault="00C70F2F" w:rsidP="00C93060">
            <w:pPr>
              <w:pStyle w:val="CETBodytext"/>
              <w:spacing w:line="240" w:lineRule="auto"/>
              <w:jc w:val="left"/>
              <w:rPr>
                <w:rFonts w:cs="Arial"/>
                <w:szCs w:val="18"/>
                <w:lang w:val="en-GB"/>
              </w:rPr>
            </w:pPr>
          </w:p>
        </w:tc>
        <w:tc>
          <w:tcPr>
            <w:tcW w:w="1831" w:type="dxa"/>
            <w:shd w:val="clear" w:color="auto" w:fill="FFFFFF"/>
            <w:vAlign w:val="center"/>
          </w:tcPr>
          <w:p w14:paraId="53BF5ADC" w14:textId="77777777" w:rsidR="00C70F2F" w:rsidRPr="00C93060" w:rsidRDefault="00C70F2F" w:rsidP="00C93060">
            <w:pPr>
              <w:pStyle w:val="CETBodytext"/>
              <w:spacing w:line="240" w:lineRule="auto"/>
              <w:jc w:val="left"/>
              <w:rPr>
                <w:rFonts w:cs="Arial"/>
                <w:szCs w:val="18"/>
                <w:lang w:val="en-GB"/>
              </w:rPr>
            </w:pPr>
            <w:r w:rsidRPr="00C93060">
              <w:rPr>
                <w:rFonts w:cs="Arial"/>
                <w:szCs w:val="18"/>
              </w:rPr>
              <w:t>Sodium hypochlorite</w:t>
            </w:r>
          </w:p>
        </w:tc>
        <w:tc>
          <w:tcPr>
            <w:tcW w:w="1691" w:type="dxa"/>
            <w:shd w:val="clear" w:color="auto" w:fill="FFFFFF"/>
            <w:vAlign w:val="center"/>
          </w:tcPr>
          <w:p w14:paraId="6F0D8196"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H400, H410, H331</w:t>
            </w:r>
          </w:p>
        </w:tc>
        <w:tc>
          <w:tcPr>
            <w:tcW w:w="784" w:type="dxa"/>
            <w:shd w:val="clear" w:color="auto" w:fill="FFFFFF"/>
            <w:vAlign w:val="center"/>
          </w:tcPr>
          <w:p w14:paraId="74314542" w14:textId="1BC8BEAD"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200</w:t>
            </w:r>
          </w:p>
        </w:tc>
        <w:tc>
          <w:tcPr>
            <w:tcW w:w="884" w:type="dxa"/>
            <w:shd w:val="clear" w:color="auto" w:fill="FFFFFF"/>
            <w:vAlign w:val="center"/>
          </w:tcPr>
          <w:p w14:paraId="213AF93A" w14:textId="5133D611"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10.0</w:t>
            </w:r>
          </w:p>
        </w:tc>
        <w:tc>
          <w:tcPr>
            <w:tcW w:w="884" w:type="dxa"/>
            <w:shd w:val="clear" w:color="auto" w:fill="FFFFFF"/>
            <w:vAlign w:val="center"/>
          </w:tcPr>
          <w:p w14:paraId="6E77F079"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0.0500</w:t>
            </w:r>
          </w:p>
        </w:tc>
        <w:tc>
          <w:tcPr>
            <w:tcW w:w="962" w:type="dxa"/>
            <w:shd w:val="clear" w:color="auto" w:fill="FFFFFF"/>
            <w:vAlign w:val="center"/>
          </w:tcPr>
          <w:p w14:paraId="0A5139F6"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c</w:t>
            </w:r>
          </w:p>
        </w:tc>
      </w:tr>
      <w:tr w:rsidR="00C70F2F" w:rsidRPr="00024946" w14:paraId="5232100B" w14:textId="77777777" w:rsidTr="001B206F">
        <w:trPr>
          <w:trHeight w:val="140"/>
        </w:trPr>
        <w:tc>
          <w:tcPr>
            <w:tcW w:w="1440" w:type="dxa"/>
            <w:gridSpan w:val="2"/>
            <w:vMerge/>
            <w:shd w:val="clear" w:color="auto" w:fill="FFFFFF"/>
            <w:vAlign w:val="center"/>
          </w:tcPr>
          <w:p w14:paraId="7015B961" w14:textId="77777777" w:rsidR="00C70F2F" w:rsidRPr="00C93060" w:rsidRDefault="00C70F2F" w:rsidP="00C93060">
            <w:pPr>
              <w:pStyle w:val="CETBodytext"/>
              <w:spacing w:line="240" w:lineRule="auto"/>
              <w:jc w:val="left"/>
              <w:rPr>
                <w:rFonts w:cs="Arial"/>
                <w:szCs w:val="18"/>
                <w:lang w:val="en-GB"/>
              </w:rPr>
            </w:pPr>
          </w:p>
        </w:tc>
        <w:tc>
          <w:tcPr>
            <w:tcW w:w="1831" w:type="dxa"/>
            <w:tcBorders>
              <w:bottom w:val="nil"/>
            </w:tcBorders>
            <w:shd w:val="clear" w:color="auto" w:fill="FFFFFF"/>
            <w:vAlign w:val="center"/>
          </w:tcPr>
          <w:p w14:paraId="0C75ACE9" w14:textId="77777777" w:rsidR="00C70F2F" w:rsidRPr="00C93060" w:rsidRDefault="00C70F2F" w:rsidP="00C93060">
            <w:pPr>
              <w:pStyle w:val="CETBodytext"/>
              <w:spacing w:line="240" w:lineRule="auto"/>
              <w:jc w:val="left"/>
              <w:rPr>
                <w:rFonts w:cs="Arial"/>
                <w:szCs w:val="18"/>
                <w:lang w:val="en-GB"/>
              </w:rPr>
            </w:pPr>
            <w:r w:rsidRPr="00C93060">
              <w:rPr>
                <w:rFonts w:cs="Arial"/>
                <w:szCs w:val="18"/>
              </w:rPr>
              <w:t>Mix of raws materials and products (Irgamet 39, methacrylic ester, Zinc dialkyldithiophosphate, Alkyldiphenylamine, phenol derivative, blending mixtures)</w:t>
            </w:r>
          </w:p>
        </w:tc>
        <w:tc>
          <w:tcPr>
            <w:tcW w:w="1691" w:type="dxa"/>
            <w:tcBorders>
              <w:bottom w:val="nil"/>
            </w:tcBorders>
            <w:shd w:val="clear" w:color="auto" w:fill="FFFFFF"/>
            <w:vAlign w:val="center"/>
          </w:tcPr>
          <w:p w14:paraId="19772510"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H411, H412 H400, H315, H317, H301</w:t>
            </w:r>
          </w:p>
        </w:tc>
        <w:tc>
          <w:tcPr>
            <w:tcW w:w="784" w:type="dxa"/>
            <w:tcBorders>
              <w:bottom w:val="nil"/>
            </w:tcBorders>
            <w:shd w:val="clear" w:color="auto" w:fill="FFFFFF"/>
            <w:vAlign w:val="center"/>
          </w:tcPr>
          <w:p w14:paraId="0AD5960E" w14:textId="14F52C34"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500</w:t>
            </w:r>
          </w:p>
        </w:tc>
        <w:tc>
          <w:tcPr>
            <w:tcW w:w="884" w:type="dxa"/>
            <w:tcBorders>
              <w:bottom w:val="nil"/>
            </w:tcBorders>
            <w:shd w:val="clear" w:color="auto" w:fill="FFFFFF"/>
            <w:vAlign w:val="center"/>
          </w:tcPr>
          <w:p w14:paraId="3EEA5640" w14:textId="4CA836BF"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708.0</w:t>
            </w:r>
          </w:p>
        </w:tc>
        <w:tc>
          <w:tcPr>
            <w:tcW w:w="884" w:type="dxa"/>
            <w:tcBorders>
              <w:bottom w:val="nil"/>
            </w:tcBorders>
            <w:shd w:val="clear" w:color="auto" w:fill="FFFFFF"/>
            <w:vAlign w:val="center"/>
          </w:tcPr>
          <w:p w14:paraId="3EFBB3CF"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1.4160</w:t>
            </w:r>
          </w:p>
        </w:tc>
        <w:tc>
          <w:tcPr>
            <w:tcW w:w="962" w:type="dxa"/>
            <w:tcBorders>
              <w:bottom w:val="nil"/>
            </w:tcBorders>
            <w:shd w:val="clear" w:color="auto" w:fill="FFFFFF"/>
            <w:vAlign w:val="center"/>
          </w:tcPr>
          <w:p w14:paraId="592DEEE1"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c</w:t>
            </w:r>
          </w:p>
        </w:tc>
      </w:tr>
      <w:tr w:rsidR="00C70F2F" w:rsidRPr="00024946" w14:paraId="255BD7A9" w14:textId="77777777" w:rsidTr="001B206F">
        <w:trPr>
          <w:trHeight w:val="140"/>
        </w:trPr>
        <w:tc>
          <w:tcPr>
            <w:tcW w:w="1440" w:type="dxa"/>
            <w:gridSpan w:val="2"/>
            <w:vMerge/>
            <w:tcBorders>
              <w:bottom w:val="single" w:sz="8" w:space="0" w:color="00B050"/>
            </w:tcBorders>
            <w:shd w:val="clear" w:color="auto" w:fill="FFFFFF"/>
            <w:vAlign w:val="center"/>
          </w:tcPr>
          <w:p w14:paraId="659E5BD2" w14:textId="77777777" w:rsidR="00C70F2F" w:rsidRPr="00C93060" w:rsidRDefault="00C70F2F" w:rsidP="00C93060">
            <w:pPr>
              <w:pStyle w:val="CETBodytext"/>
              <w:spacing w:line="240" w:lineRule="auto"/>
              <w:jc w:val="left"/>
              <w:rPr>
                <w:rFonts w:cs="Arial"/>
                <w:szCs w:val="18"/>
                <w:lang w:val="en-GB"/>
              </w:rPr>
            </w:pPr>
          </w:p>
        </w:tc>
        <w:tc>
          <w:tcPr>
            <w:tcW w:w="1831" w:type="dxa"/>
            <w:tcBorders>
              <w:top w:val="nil"/>
              <w:bottom w:val="single" w:sz="8" w:space="0" w:color="00B050"/>
            </w:tcBorders>
            <w:shd w:val="clear" w:color="auto" w:fill="FFFFFF"/>
            <w:vAlign w:val="center"/>
          </w:tcPr>
          <w:p w14:paraId="073581BA" w14:textId="77777777" w:rsidR="00C70F2F" w:rsidRPr="00C93060" w:rsidRDefault="00C70F2F" w:rsidP="00C93060">
            <w:pPr>
              <w:pStyle w:val="CETBodytext"/>
              <w:spacing w:line="240" w:lineRule="auto"/>
              <w:jc w:val="left"/>
              <w:rPr>
                <w:rFonts w:cs="Arial"/>
                <w:szCs w:val="18"/>
                <w:lang w:val="en-GB"/>
              </w:rPr>
            </w:pPr>
            <w:r w:rsidRPr="00C93060">
              <w:rPr>
                <w:rFonts w:cs="Arial"/>
                <w:szCs w:val="18"/>
              </w:rPr>
              <w:t>Hazardous waste (API tank foam, sludge, waste oil from maintenance, reclamation sludge, dirty mixed materials)</w:t>
            </w:r>
          </w:p>
        </w:tc>
        <w:tc>
          <w:tcPr>
            <w:tcW w:w="1691" w:type="dxa"/>
            <w:tcBorders>
              <w:top w:val="nil"/>
              <w:bottom w:val="single" w:sz="8" w:space="0" w:color="00B050"/>
            </w:tcBorders>
            <w:shd w:val="clear" w:color="auto" w:fill="FFFFFF"/>
            <w:vAlign w:val="center"/>
          </w:tcPr>
          <w:p w14:paraId="2ABE6868"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H411, H304, H315, H318 H335,</w:t>
            </w:r>
          </w:p>
        </w:tc>
        <w:tc>
          <w:tcPr>
            <w:tcW w:w="784" w:type="dxa"/>
            <w:tcBorders>
              <w:top w:val="nil"/>
              <w:bottom w:val="single" w:sz="8" w:space="0" w:color="00B050"/>
            </w:tcBorders>
            <w:shd w:val="clear" w:color="auto" w:fill="FFFFFF"/>
            <w:vAlign w:val="center"/>
          </w:tcPr>
          <w:p w14:paraId="65B81B38" w14:textId="38E9194E"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500</w:t>
            </w:r>
          </w:p>
        </w:tc>
        <w:tc>
          <w:tcPr>
            <w:tcW w:w="884" w:type="dxa"/>
            <w:tcBorders>
              <w:top w:val="nil"/>
              <w:bottom w:val="single" w:sz="8" w:space="0" w:color="00B050"/>
            </w:tcBorders>
            <w:shd w:val="clear" w:color="auto" w:fill="FFFFFF"/>
            <w:vAlign w:val="center"/>
          </w:tcPr>
          <w:p w14:paraId="62F93172" w14:textId="4C2F30AE"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150</w:t>
            </w:r>
            <w:r w:rsidR="007E4FE8" w:rsidRPr="00C93060">
              <w:rPr>
                <w:rFonts w:cs="Arial"/>
                <w:szCs w:val="18"/>
              </w:rPr>
              <w:t>.0</w:t>
            </w:r>
          </w:p>
        </w:tc>
        <w:tc>
          <w:tcPr>
            <w:tcW w:w="884" w:type="dxa"/>
            <w:tcBorders>
              <w:top w:val="nil"/>
              <w:bottom w:val="single" w:sz="8" w:space="0" w:color="00B050"/>
            </w:tcBorders>
            <w:shd w:val="clear" w:color="auto" w:fill="FFFFFF"/>
            <w:vAlign w:val="center"/>
          </w:tcPr>
          <w:p w14:paraId="0CEAD728"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0.3000</w:t>
            </w:r>
          </w:p>
        </w:tc>
        <w:tc>
          <w:tcPr>
            <w:tcW w:w="962" w:type="dxa"/>
            <w:tcBorders>
              <w:top w:val="nil"/>
              <w:bottom w:val="single" w:sz="8" w:space="0" w:color="00B050"/>
            </w:tcBorders>
            <w:shd w:val="clear" w:color="auto" w:fill="FFFFFF"/>
            <w:vAlign w:val="center"/>
          </w:tcPr>
          <w:p w14:paraId="284CCCDC"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c</w:t>
            </w:r>
          </w:p>
        </w:tc>
      </w:tr>
      <w:tr w:rsidR="00C70F2F" w:rsidRPr="00024946" w14:paraId="303605B4" w14:textId="77777777" w:rsidTr="001B206F">
        <w:trPr>
          <w:trHeight w:val="219"/>
        </w:trPr>
        <w:tc>
          <w:tcPr>
            <w:tcW w:w="1440" w:type="dxa"/>
            <w:gridSpan w:val="2"/>
            <w:vMerge w:val="restart"/>
            <w:tcBorders>
              <w:top w:val="single" w:sz="8" w:space="0" w:color="00B050"/>
              <w:bottom w:val="single" w:sz="12" w:space="0" w:color="008000"/>
            </w:tcBorders>
            <w:shd w:val="clear" w:color="auto" w:fill="FFFFFF"/>
            <w:vAlign w:val="center"/>
          </w:tcPr>
          <w:p w14:paraId="4F6D29AA" w14:textId="43211CE9" w:rsidR="00C70F2F" w:rsidRPr="00C93060" w:rsidRDefault="00C70F2F" w:rsidP="00C93060">
            <w:pPr>
              <w:pStyle w:val="CETBodytext"/>
              <w:spacing w:line="240" w:lineRule="auto"/>
              <w:jc w:val="center"/>
              <w:rPr>
                <w:rFonts w:cs="Arial"/>
                <w:szCs w:val="18"/>
              </w:rPr>
            </w:pPr>
            <w:r w:rsidRPr="00C93060">
              <w:rPr>
                <w:rFonts w:eastAsia="Calibri" w:cs="Arial"/>
                <w:szCs w:val="18"/>
              </w:rPr>
              <w:t xml:space="preserve">Power </w:t>
            </w:r>
            <w:r w:rsidR="00DE1F9E" w:rsidRPr="00C93060">
              <w:rPr>
                <w:rFonts w:eastAsia="Calibri" w:cs="Arial"/>
                <w:szCs w:val="18"/>
              </w:rPr>
              <w:t>p</w:t>
            </w:r>
            <w:r w:rsidRPr="00C93060">
              <w:rPr>
                <w:rFonts w:eastAsia="Calibri" w:cs="Arial"/>
                <w:szCs w:val="18"/>
              </w:rPr>
              <w:t xml:space="preserve">roduction </w:t>
            </w:r>
            <w:r w:rsidR="00DE1F9E" w:rsidRPr="00C93060">
              <w:rPr>
                <w:rFonts w:eastAsia="Calibri" w:cs="Arial"/>
                <w:szCs w:val="18"/>
              </w:rPr>
              <w:t>industry (Plant B)</w:t>
            </w:r>
          </w:p>
        </w:tc>
        <w:tc>
          <w:tcPr>
            <w:tcW w:w="1831" w:type="dxa"/>
            <w:tcBorders>
              <w:top w:val="single" w:sz="8" w:space="0" w:color="00B050"/>
              <w:bottom w:val="nil"/>
            </w:tcBorders>
            <w:shd w:val="clear" w:color="auto" w:fill="FFFFFF"/>
            <w:vAlign w:val="center"/>
          </w:tcPr>
          <w:p w14:paraId="29E42C3C"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Dense Fuel-Oil BTZ</w:t>
            </w:r>
          </w:p>
        </w:tc>
        <w:tc>
          <w:tcPr>
            <w:tcW w:w="1691" w:type="dxa"/>
            <w:tcBorders>
              <w:top w:val="single" w:sz="8" w:space="0" w:color="00B050"/>
              <w:bottom w:val="nil"/>
            </w:tcBorders>
            <w:shd w:val="clear" w:color="auto" w:fill="FFFFFF"/>
            <w:vAlign w:val="center"/>
          </w:tcPr>
          <w:p w14:paraId="3181CC98"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H411, H226, H315</w:t>
            </w:r>
          </w:p>
        </w:tc>
        <w:tc>
          <w:tcPr>
            <w:tcW w:w="784" w:type="dxa"/>
            <w:tcBorders>
              <w:top w:val="single" w:sz="8" w:space="0" w:color="00B050"/>
              <w:bottom w:val="nil"/>
            </w:tcBorders>
            <w:shd w:val="clear" w:color="auto" w:fill="FFFFFF"/>
            <w:vAlign w:val="center"/>
          </w:tcPr>
          <w:p w14:paraId="5B92B20B" w14:textId="1021004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500</w:t>
            </w:r>
          </w:p>
        </w:tc>
        <w:tc>
          <w:tcPr>
            <w:tcW w:w="884" w:type="dxa"/>
            <w:tcBorders>
              <w:top w:val="single" w:sz="8" w:space="0" w:color="00B050"/>
              <w:bottom w:val="nil"/>
            </w:tcBorders>
            <w:shd w:val="clear" w:color="auto" w:fill="FFFFFF"/>
            <w:vAlign w:val="center"/>
          </w:tcPr>
          <w:p w14:paraId="25C52D22" w14:textId="5104F741"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20000</w:t>
            </w:r>
          </w:p>
        </w:tc>
        <w:tc>
          <w:tcPr>
            <w:tcW w:w="884" w:type="dxa"/>
            <w:tcBorders>
              <w:top w:val="single" w:sz="8" w:space="0" w:color="00B050"/>
              <w:bottom w:val="nil"/>
            </w:tcBorders>
            <w:shd w:val="clear" w:color="auto" w:fill="FFFFFF"/>
            <w:vAlign w:val="center"/>
          </w:tcPr>
          <w:p w14:paraId="186142BA"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40.0000</w:t>
            </w:r>
          </w:p>
        </w:tc>
        <w:tc>
          <w:tcPr>
            <w:tcW w:w="962" w:type="dxa"/>
            <w:tcBorders>
              <w:top w:val="single" w:sz="8" w:space="0" w:color="00B050"/>
              <w:bottom w:val="nil"/>
            </w:tcBorders>
            <w:shd w:val="clear" w:color="auto" w:fill="FFFFFF"/>
            <w:vAlign w:val="center"/>
          </w:tcPr>
          <w:p w14:paraId="66499716"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c</w:t>
            </w:r>
          </w:p>
        </w:tc>
      </w:tr>
      <w:tr w:rsidR="00C70F2F" w:rsidRPr="00024946" w14:paraId="15585B3E" w14:textId="77777777" w:rsidTr="001B206F">
        <w:trPr>
          <w:trHeight w:val="140"/>
        </w:trPr>
        <w:tc>
          <w:tcPr>
            <w:tcW w:w="1440" w:type="dxa"/>
            <w:gridSpan w:val="2"/>
            <w:vMerge/>
            <w:tcBorders>
              <w:top w:val="nil"/>
              <w:bottom w:val="single" w:sz="12" w:space="0" w:color="008000"/>
            </w:tcBorders>
            <w:shd w:val="clear" w:color="auto" w:fill="FFFFFF"/>
            <w:vAlign w:val="center"/>
          </w:tcPr>
          <w:p w14:paraId="238594A6" w14:textId="77777777" w:rsidR="00C70F2F" w:rsidRPr="00C93060" w:rsidRDefault="00C70F2F" w:rsidP="00C93060">
            <w:pPr>
              <w:pStyle w:val="CETBodytext"/>
              <w:spacing w:line="240" w:lineRule="auto"/>
              <w:rPr>
                <w:rFonts w:cs="Arial"/>
                <w:szCs w:val="18"/>
                <w:lang w:val="en-GB"/>
              </w:rPr>
            </w:pPr>
          </w:p>
        </w:tc>
        <w:tc>
          <w:tcPr>
            <w:tcW w:w="1831" w:type="dxa"/>
            <w:tcBorders>
              <w:top w:val="nil"/>
              <w:bottom w:val="single" w:sz="12" w:space="0" w:color="008000"/>
            </w:tcBorders>
            <w:shd w:val="clear" w:color="auto" w:fill="FFFFFF"/>
            <w:vAlign w:val="center"/>
          </w:tcPr>
          <w:p w14:paraId="56A45801"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Automotive Diesel</w:t>
            </w:r>
          </w:p>
        </w:tc>
        <w:tc>
          <w:tcPr>
            <w:tcW w:w="1691" w:type="dxa"/>
            <w:tcBorders>
              <w:top w:val="nil"/>
              <w:bottom w:val="single" w:sz="12" w:space="0" w:color="008000"/>
            </w:tcBorders>
            <w:shd w:val="clear" w:color="auto" w:fill="FFFFFF"/>
            <w:vAlign w:val="center"/>
          </w:tcPr>
          <w:p w14:paraId="79D104F0" w14:textId="77777777" w:rsidR="00C70F2F" w:rsidRPr="00C93060" w:rsidRDefault="00C70F2F" w:rsidP="00C93060">
            <w:pPr>
              <w:pStyle w:val="CETBodytext"/>
              <w:spacing w:line="240" w:lineRule="auto"/>
              <w:jc w:val="center"/>
              <w:rPr>
                <w:rFonts w:cs="Arial"/>
                <w:szCs w:val="18"/>
                <w:lang w:val="en-GB"/>
              </w:rPr>
            </w:pPr>
            <w:r w:rsidRPr="00C93060">
              <w:rPr>
                <w:rFonts w:cs="Arial"/>
                <w:szCs w:val="18"/>
              </w:rPr>
              <w:t>H411, H226, H315</w:t>
            </w:r>
          </w:p>
        </w:tc>
        <w:tc>
          <w:tcPr>
            <w:tcW w:w="784" w:type="dxa"/>
            <w:tcBorders>
              <w:top w:val="nil"/>
              <w:bottom w:val="single" w:sz="12" w:space="0" w:color="008000"/>
            </w:tcBorders>
            <w:shd w:val="clear" w:color="auto" w:fill="FFFFFF"/>
            <w:vAlign w:val="center"/>
          </w:tcPr>
          <w:p w14:paraId="62B75E93" w14:textId="7DCEF6B0"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50000</w:t>
            </w:r>
          </w:p>
        </w:tc>
        <w:tc>
          <w:tcPr>
            <w:tcW w:w="884" w:type="dxa"/>
            <w:tcBorders>
              <w:top w:val="nil"/>
              <w:bottom w:val="single" w:sz="12" w:space="0" w:color="008000"/>
            </w:tcBorders>
            <w:shd w:val="clear" w:color="auto" w:fill="FFFFFF"/>
            <w:vAlign w:val="center"/>
          </w:tcPr>
          <w:p w14:paraId="2FB4231E" w14:textId="5D68D1F6"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100</w:t>
            </w:r>
          </w:p>
        </w:tc>
        <w:tc>
          <w:tcPr>
            <w:tcW w:w="884" w:type="dxa"/>
            <w:tcBorders>
              <w:top w:val="nil"/>
              <w:bottom w:val="single" w:sz="12" w:space="0" w:color="008000"/>
            </w:tcBorders>
            <w:shd w:val="clear" w:color="auto" w:fill="FFFFFF"/>
            <w:vAlign w:val="center"/>
          </w:tcPr>
          <w:p w14:paraId="2CB3F716" w14:textId="77777777" w:rsidR="00C70F2F" w:rsidRPr="00C93060" w:rsidRDefault="00C70F2F" w:rsidP="00C93060">
            <w:pPr>
              <w:pStyle w:val="CETBodytext"/>
              <w:spacing w:line="240" w:lineRule="auto"/>
              <w:ind w:right="-1"/>
              <w:jc w:val="right"/>
              <w:rPr>
                <w:rFonts w:cs="Arial"/>
                <w:szCs w:val="18"/>
                <w:lang w:val="en-GB"/>
              </w:rPr>
            </w:pPr>
            <w:r w:rsidRPr="00C93060">
              <w:rPr>
                <w:rFonts w:cs="Arial"/>
                <w:szCs w:val="18"/>
              </w:rPr>
              <w:t>0.0020</w:t>
            </w:r>
          </w:p>
        </w:tc>
        <w:tc>
          <w:tcPr>
            <w:tcW w:w="962" w:type="dxa"/>
            <w:tcBorders>
              <w:top w:val="nil"/>
              <w:bottom w:val="single" w:sz="12" w:space="0" w:color="008000"/>
            </w:tcBorders>
            <w:shd w:val="clear" w:color="auto" w:fill="FFFFFF"/>
            <w:vAlign w:val="center"/>
          </w:tcPr>
          <w:p w14:paraId="0F1AE1E2" w14:textId="77777777" w:rsidR="00C70F2F" w:rsidRPr="00136E3F" w:rsidRDefault="00C70F2F" w:rsidP="00C93060">
            <w:pPr>
              <w:pStyle w:val="CETBodytext"/>
              <w:spacing w:line="240" w:lineRule="auto"/>
              <w:ind w:right="-1"/>
              <w:jc w:val="center"/>
              <w:rPr>
                <w:rFonts w:cs="Arial"/>
                <w:i/>
                <w:iCs/>
                <w:szCs w:val="18"/>
                <w:lang w:val="en-GB"/>
              </w:rPr>
            </w:pPr>
            <w:r w:rsidRPr="00136E3F">
              <w:rPr>
                <w:rFonts w:cs="Arial"/>
                <w:i/>
                <w:iCs/>
                <w:szCs w:val="18"/>
                <w:lang w:val="en-GB"/>
              </w:rPr>
              <w:t>C</w:t>
            </w:r>
            <w:r w:rsidRPr="00136E3F">
              <w:rPr>
                <w:rFonts w:cs="Arial"/>
                <w:i/>
                <w:iCs/>
                <w:szCs w:val="18"/>
                <w:vertAlign w:val="subscript"/>
              </w:rPr>
              <w:t>b</w:t>
            </w:r>
          </w:p>
        </w:tc>
      </w:tr>
    </w:tbl>
    <w:p w14:paraId="35336132" w14:textId="77777777" w:rsidR="00CF2E0C" w:rsidRDefault="00CF2E0C" w:rsidP="002B6092">
      <w:pPr>
        <w:pStyle w:val="CETBodytext"/>
      </w:pPr>
    </w:p>
    <w:p w14:paraId="0C3C68FA" w14:textId="7CDC6A0C" w:rsidR="002B6092" w:rsidRPr="00790F86" w:rsidRDefault="002B6092" w:rsidP="002B6092">
      <w:pPr>
        <w:pStyle w:val="CETBodytext"/>
        <w:rPr>
          <w:lang w:val="en-GB"/>
        </w:rPr>
      </w:pPr>
      <w:r>
        <w:lastRenderedPageBreak/>
        <w:t>Based on data</w:t>
      </w:r>
      <w:r w:rsidR="00C27D16">
        <w:t xml:space="preserve"> in Table</w:t>
      </w:r>
      <w:r>
        <w:t xml:space="preserve"> 1, then </w:t>
      </w:r>
      <w:r w:rsidRPr="00DC1303">
        <w:rPr>
          <w:i/>
          <w:iCs/>
          <w:lang w:val="en-GB"/>
        </w:rPr>
        <w:t>Q</w:t>
      </w:r>
      <w:r w:rsidRPr="00D119D5">
        <w:rPr>
          <w:i/>
          <w:iCs/>
          <w:vertAlign w:val="subscript"/>
          <w:lang w:val="en-GB"/>
        </w:rPr>
        <w:t>C</w:t>
      </w:r>
      <w:r w:rsidRPr="00432829">
        <w:rPr>
          <w:i/>
          <w:iCs/>
          <w:vertAlign w:val="subscript"/>
          <w:lang w:val="en-GB"/>
        </w:rPr>
        <w:t>a</w:t>
      </w:r>
      <w:r w:rsidRPr="00CA3A65">
        <w:rPr>
          <w:i/>
          <w:iCs/>
          <w:lang w:val="en-GB"/>
        </w:rPr>
        <w:t>,</w:t>
      </w:r>
      <w:r>
        <w:rPr>
          <w:i/>
          <w:iCs/>
          <w:vertAlign w:val="subscript"/>
          <w:lang w:val="en-GB"/>
        </w:rPr>
        <w:t xml:space="preserve"> </w:t>
      </w:r>
      <w:r w:rsidRPr="00DC1303">
        <w:rPr>
          <w:i/>
          <w:iCs/>
          <w:lang w:val="en-GB"/>
        </w:rPr>
        <w:t>Q</w:t>
      </w:r>
      <w:r w:rsidRPr="00D119D5">
        <w:rPr>
          <w:i/>
          <w:iCs/>
          <w:vertAlign w:val="subscript"/>
          <w:lang w:val="en-GB"/>
        </w:rPr>
        <w:t>C</w:t>
      </w:r>
      <w:r w:rsidRPr="00432829">
        <w:rPr>
          <w:i/>
          <w:iCs/>
          <w:vertAlign w:val="subscript"/>
          <w:lang w:val="en-GB"/>
        </w:rPr>
        <w:t>b</w:t>
      </w:r>
      <w:r w:rsidRPr="00CA3A65">
        <w:rPr>
          <w:i/>
          <w:iCs/>
          <w:lang w:val="en-GB"/>
        </w:rPr>
        <w:t xml:space="preserve">, </w:t>
      </w:r>
      <w:r w:rsidRPr="00136E3F">
        <w:rPr>
          <w:lang w:val="en-GB"/>
        </w:rPr>
        <w:t>and</w:t>
      </w:r>
      <w:r>
        <w:rPr>
          <w:i/>
          <w:iCs/>
          <w:lang w:val="en-GB"/>
        </w:rPr>
        <w:t xml:space="preserve"> </w:t>
      </w:r>
      <w:r w:rsidRPr="00DC1303">
        <w:rPr>
          <w:i/>
          <w:iCs/>
          <w:lang w:val="en-GB"/>
        </w:rPr>
        <w:t>Q</w:t>
      </w:r>
      <w:r w:rsidRPr="00D119D5">
        <w:rPr>
          <w:i/>
          <w:iCs/>
          <w:vertAlign w:val="subscript"/>
          <w:lang w:val="en-GB"/>
        </w:rPr>
        <w:t>C</w:t>
      </w:r>
      <w:r w:rsidRPr="00432829">
        <w:rPr>
          <w:i/>
          <w:iCs/>
          <w:vertAlign w:val="subscript"/>
          <w:lang w:val="en-GB"/>
        </w:rPr>
        <w:t>c</w:t>
      </w:r>
      <w:r>
        <w:rPr>
          <w:i/>
          <w:iCs/>
          <w:vertAlign w:val="subscript"/>
          <w:lang w:val="en-GB"/>
        </w:rPr>
        <w:t xml:space="preserve"> </w:t>
      </w:r>
      <w:r w:rsidR="004C31D0" w:rsidRPr="004C31D0">
        <w:rPr>
          <w:lang w:val="en-GB"/>
        </w:rPr>
        <w:t>were calculated and are presented in Figure 2 for both plants, along with the reference scale</w:t>
      </w:r>
      <w:r>
        <w:t xml:space="preserve"> </w:t>
      </w:r>
      <w:r w:rsidRPr="00F15F8F">
        <w:rPr>
          <w:i/>
        </w:rPr>
        <w:t>Q</w:t>
      </w:r>
      <w:r w:rsidRPr="00F15F8F">
        <w:rPr>
          <w:i/>
          <w:vertAlign w:val="subscript"/>
        </w:rPr>
        <w:t>S</w:t>
      </w:r>
      <w:r w:rsidRPr="00432829">
        <w:rPr>
          <w:iCs/>
          <w:vertAlign w:val="subscript"/>
        </w:rPr>
        <w:t>(</w:t>
      </w:r>
      <w:r w:rsidRPr="00F15F8F">
        <w:rPr>
          <w:i/>
          <w:vertAlign w:val="subscript"/>
        </w:rPr>
        <w:t>ref</w:t>
      </w:r>
      <w:r w:rsidRPr="00432829">
        <w:rPr>
          <w:iCs/>
          <w:vertAlign w:val="subscript"/>
        </w:rPr>
        <w:t>)</w:t>
      </w:r>
      <w:r>
        <w:rPr>
          <w:iCs/>
          <w:vertAlign w:val="subscript"/>
        </w:rPr>
        <w:t xml:space="preserve">  </w:t>
      </w:r>
      <w:r>
        <w:t>.</w:t>
      </w:r>
    </w:p>
    <w:p w14:paraId="69E884B2" w14:textId="312BCCD1" w:rsidR="0026299F" w:rsidRDefault="008964C9" w:rsidP="00BD077D">
      <w:pPr>
        <w:pStyle w:val="CETCaption"/>
        <w:rPr>
          <w:rStyle w:val="CETCaptionCarattere"/>
          <w:i/>
        </w:rPr>
      </w:pPr>
      <w:r w:rsidRPr="00CB5483">
        <w:rPr>
          <w:rStyle w:val="CETCaptionCarattere"/>
          <w:i/>
          <w:noProof/>
        </w:rPr>
        <w:drawing>
          <wp:inline distT="0" distB="0" distL="0" distR="0" wp14:anchorId="0C7A4FBD" wp14:editId="4B51B05E">
            <wp:extent cx="2533650" cy="2200159"/>
            <wp:effectExtent l="0" t="0" r="0" b="0"/>
            <wp:docPr id="1802594151" name="Immagine 1" descr="Immagine che contiene testo, diagramma, schermat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85865" name="Immagine 1" descr="Immagine che contiene testo, diagramma, schermata, linea&#10;&#10;Descrizione generata automaticamente"/>
                    <pic:cNvPicPr/>
                  </pic:nvPicPr>
                  <pic:blipFill>
                    <a:blip r:embed="rId13"/>
                    <a:stretch>
                      <a:fillRect/>
                    </a:stretch>
                  </pic:blipFill>
                  <pic:spPr>
                    <a:xfrm>
                      <a:off x="0" y="0"/>
                      <a:ext cx="2584922" cy="2244683"/>
                    </a:xfrm>
                    <a:prstGeom prst="rect">
                      <a:avLst/>
                    </a:prstGeom>
                  </pic:spPr>
                </pic:pic>
              </a:graphicData>
            </a:graphic>
          </wp:inline>
        </w:drawing>
      </w:r>
      <w:r w:rsidR="00DC6946" w:rsidRPr="00DC6946">
        <w:rPr>
          <w:rStyle w:val="CETCaptionCarattere"/>
          <w:i/>
        </w:rPr>
        <w:t xml:space="preserve"> </w:t>
      </w:r>
      <w:r w:rsidRPr="002075AC">
        <w:rPr>
          <w:noProof/>
        </w:rPr>
        <w:drawing>
          <wp:inline distT="0" distB="0" distL="0" distR="0" wp14:anchorId="6B45BF6E" wp14:editId="6DCDCD67">
            <wp:extent cx="2692400" cy="2207356"/>
            <wp:effectExtent l="0" t="0" r="0" b="2540"/>
            <wp:docPr id="1427265577" name="Immagine 1" descr="Immagine che contiene testo, schermata,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2630" name="Immagine 1" descr="Immagine che contiene testo, schermata, diagramma, linea&#10;&#10;Descrizione generata automaticamente"/>
                    <pic:cNvPicPr/>
                  </pic:nvPicPr>
                  <pic:blipFill>
                    <a:blip r:embed="rId14"/>
                    <a:stretch>
                      <a:fillRect/>
                    </a:stretch>
                  </pic:blipFill>
                  <pic:spPr>
                    <a:xfrm>
                      <a:off x="0" y="0"/>
                      <a:ext cx="2728750" cy="2237157"/>
                    </a:xfrm>
                    <a:prstGeom prst="rect">
                      <a:avLst/>
                    </a:prstGeom>
                  </pic:spPr>
                </pic:pic>
              </a:graphicData>
            </a:graphic>
          </wp:inline>
        </w:drawing>
      </w:r>
      <w:r w:rsidR="005A6BC5" w:rsidRPr="005A6BC5">
        <w:rPr>
          <w:noProof/>
        </w:rPr>
        <w:t xml:space="preserve"> </w:t>
      </w:r>
    </w:p>
    <w:p w14:paraId="0897914B" w14:textId="78B6DFFF" w:rsidR="00002A8E" w:rsidRDefault="00002A8E" w:rsidP="00002A8E">
      <w:pPr>
        <w:pStyle w:val="CETBodytext"/>
        <w:spacing w:before="240" w:after="120"/>
        <w:rPr>
          <w:rStyle w:val="CETCaptionCarattere"/>
          <w:iCs/>
        </w:rPr>
      </w:pPr>
      <w:r w:rsidRPr="00BD077D">
        <w:rPr>
          <w:rStyle w:val="CETCaptionCarattere"/>
        </w:rPr>
        <w:t xml:space="preserve">Figure </w:t>
      </w:r>
      <w:r w:rsidR="00D862E4">
        <w:rPr>
          <w:rStyle w:val="CETCaptionCarattere"/>
          <w:i w:val="0"/>
        </w:rPr>
        <w:t>2</w:t>
      </w:r>
      <w:r w:rsidRPr="00BD077D">
        <w:rPr>
          <w:rStyle w:val="CETCaptionCarattere"/>
        </w:rPr>
        <w:t xml:space="preserve">: </w:t>
      </w:r>
      <w:r>
        <w:rPr>
          <w:rStyle w:val="CETCaptionCarattere"/>
        </w:rPr>
        <w:t xml:space="preserve">Reference scale for the </w:t>
      </w:r>
      <w:r w:rsidRPr="00D060B2">
        <w:rPr>
          <w:rStyle w:val="CETCaptionCarattere"/>
        </w:rPr>
        <w:t>Index of compliance</w:t>
      </w:r>
      <w:r w:rsidR="00AD4006">
        <w:rPr>
          <w:rStyle w:val="CETCaptionCarattere"/>
        </w:rPr>
        <w:t xml:space="preserve"> </w:t>
      </w:r>
      <w:r w:rsidR="00EF7574" w:rsidRPr="00DC1303">
        <w:rPr>
          <w:i/>
          <w:iCs/>
          <w:lang w:val="en-GB"/>
        </w:rPr>
        <w:t>Q</w:t>
      </w:r>
      <w:r w:rsidR="00EF7574" w:rsidRPr="00F15F8F">
        <w:rPr>
          <w:i/>
          <w:iCs/>
          <w:vertAlign w:val="subscript"/>
          <w:lang w:val="en-GB"/>
        </w:rPr>
        <w:t>S</w:t>
      </w:r>
      <w:r w:rsidR="00EF7574" w:rsidRPr="00F15F8F">
        <w:rPr>
          <w:vertAlign w:val="subscript"/>
          <w:lang w:val="en-GB"/>
        </w:rPr>
        <w:t>(</w:t>
      </w:r>
      <w:r w:rsidR="00EF7574" w:rsidRPr="00EF7574">
        <w:rPr>
          <w:i/>
          <w:iCs/>
          <w:vertAlign w:val="subscript"/>
          <w:lang w:val="en-GB"/>
        </w:rPr>
        <w:t>ref</w:t>
      </w:r>
      <w:r w:rsidR="00EF7574" w:rsidRPr="00F15F8F">
        <w:rPr>
          <w:vertAlign w:val="subscript"/>
          <w:lang w:val="en-GB"/>
        </w:rPr>
        <w:t>)</w:t>
      </w:r>
      <w:r w:rsidRPr="00D060B2">
        <w:rPr>
          <w:rStyle w:val="CETCaptionCarattere"/>
        </w:rPr>
        <w:t xml:space="preserve"> </w:t>
      </w:r>
      <w:r>
        <w:rPr>
          <w:rStyle w:val="CETCaptionCarattere"/>
        </w:rPr>
        <w:t>in comparison with</w:t>
      </w:r>
      <w:r w:rsidRPr="00D060B2">
        <w:rPr>
          <w:rStyle w:val="CETCaptionCarattere"/>
        </w:rPr>
        <w:t xml:space="preserve"> each dimension </w:t>
      </w:r>
      <w:r w:rsidRPr="00A10BE4">
        <w:rPr>
          <w:rStyle w:val="CETCaptionCarattere"/>
          <w:iCs/>
        </w:rPr>
        <w:t>Q</w:t>
      </w:r>
      <w:r w:rsidRPr="00AD4006">
        <w:rPr>
          <w:rStyle w:val="CETCaptionCarattere"/>
          <w:iCs/>
          <w:vertAlign w:val="subscript"/>
        </w:rPr>
        <w:t>s</w:t>
      </w:r>
      <w:r w:rsidR="00A3124D">
        <w:rPr>
          <w:rStyle w:val="CETCaptionCarattere"/>
          <w:iCs/>
        </w:rPr>
        <w:t>: a) Plant A</w:t>
      </w:r>
      <w:r w:rsidR="00C076B6">
        <w:rPr>
          <w:rStyle w:val="CETCaptionCarattere"/>
          <w:iCs/>
        </w:rPr>
        <w:t xml:space="preserve"> </w:t>
      </w:r>
      <w:r w:rsidR="001A74CC">
        <w:rPr>
          <w:rStyle w:val="CETCaptionCarattere"/>
          <w:iCs/>
        </w:rPr>
        <w:t>(c</w:t>
      </w:r>
      <w:r w:rsidR="00C076B6">
        <w:rPr>
          <w:rStyle w:val="CETCaptionCarattere"/>
          <w:iCs/>
        </w:rPr>
        <w:t>hemical industry</w:t>
      </w:r>
      <w:r w:rsidR="001A74CC">
        <w:rPr>
          <w:rStyle w:val="CETCaptionCarattere"/>
          <w:iCs/>
        </w:rPr>
        <w:t>)</w:t>
      </w:r>
      <w:r w:rsidR="00A3124D">
        <w:rPr>
          <w:rStyle w:val="CETCaptionCarattere"/>
          <w:iCs/>
        </w:rPr>
        <w:t xml:space="preserve">. b) Plant </w:t>
      </w:r>
      <w:r w:rsidR="003E07DC">
        <w:rPr>
          <w:rStyle w:val="CETCaptionCarattere"/>
          <w:iCs/>
        </w:rPr>
        <w:t>B</w:t>
      </w:r>
      <w:r w:rsidR="00C076B6">
        <w:rPr>
          <w:rStyle w:val="CETCaptionCarattere"/>
          <w:iCs/>
        </w:rPr>
        <w:t xml:space="preserve"> </w:t>
      </w:r>
      <w:r w:rsidR="001A74CC">
        <w:rPr>
          <w:rStyle w:val="CETCaptionCarattere"/>
          <w:iCs/>
        </w:rPr>
        <w:t>(</w:t>
      </w:r>
      <w:r w:rsidR="00C076B6">
        <w:rPr>
          <w:rStyle w:val="CETCaptionCarattere"/>
          <w:iCs/>
        </w:rPr>
        <w:t>power production industry</w:t>
      </w:r>
      <w:r w:rsidR="001A74CC">
        <w:rPr>
          <w:rStyle w:val="CETCaptionCarattere"/>
          <w:iCs/>
        </w:rPr>
        <w:t>)</w:t>
      </w:r>
      <w:r w:rsidR="003E07DC">
        <w:rPr>
          <w:rStyle w:val="CETCaptionCarattere"/>
          <w:iCs/>
        </w:rPr>
        <w:t>.</w:t>
      </w:r>
    </w:p>
    <w:p w14:paraId="706D459B" w14:textId="17D1A58E" w:rsidR="0025448D" w:rsidRDefault="0025448D" w:rsidP="0025448D">
      <w:pPr>
        <w:pStyle w:val="CETCaption"/>
        <w:spacing w:before="0" w:after="0" w:line="240" w:lineRule="auto"/>
        <w:rPr>
          <w:i w:val="0"/>
          <w:lang w:val="en-US"/>
        </w:rPr>
      </w:pPr>
      <w:r w:rsidRPr="006E08CA">
        <w:rPr>
          <w:i w:val="0"/>
          <w:lang w:val="en-US"/>
        </w:rPr>
        <w:t xml:space="preserve">For example, </w:t>
      </w:r>
      <w:r>
        <w:rPr>
          <w:i w:val="0"/>
          <w:lang w:val="en-US"/>
        </w:rPr>
        <w:t xml:space="preserve">in Figure 2 a) the amount of Toluene and Methanol characterizes the potential of this plant concerning the toxic scenarios in the black zone: it means that large toxic scenarios may happen according to the substance detained in this upper-tier establishment. Although the amount of substances linked to the occurrence of energetic scenarios resulted in the strata of </w:t>
      </w:r>
      <w:r w:rsidRPr="00F042DA">
        <w:rPr>
          <w:i w:val="0"/>
          <w:lang w:val="en-US"/>
        </w:rPr>
        <w:t>minor risk facilit</w:t>
      </w:r>
      <w:r>
        <w:rPr>
          <w:i w:val="0"/>
          <w:lang w:val="en-US"/>
        </w:rPr>
        <w:t xml:space="preserve">ies, these quantities have yet the potential to </w:t>
      </w:r>
      <w:r w:rsidRPr="00F042DA">
        <w:rPr>
          <w:i w:val="0"/>
          <w:lang w:val="en-US"/>
        </w:rPr>
        <w:t>cause a major accident</w:t>
      </w:r>
      <w:r>
        <w:rPr>
          <w:i w:val="0"/>
          <w:lang w:val="en-US"/>
        </w:rPr>
        <w:t xml:space="preserve">. Finally, the mix of raw materials and </w:t>
      </w:r>
      <w:r w:rsidR="00D77027">
        <w:rPr>
          <w:i w:val="0"/>
          <w:lang w:val="en-US"/>
        </w:rPr>
        <w:t>waste</w:t>
      </w:r>
      <w:r>
        <w:rPr>
          <w:i w:val="0"/>
          <w:lang w:val="en-US"/>
        </w:rPr>
        <w:t xml:space="preserve"> classified as dangerous to the environment matches the purple classification, translated into the potential to cause </w:t>
      </w:r>
      <w:r w:rsidR="00722648">
        <w:rPr>
          <w:i w:val="0"/>
          <w:lang w:val="en-US"/>
        </w:rPr>
        <w:t>major catastrophic</w:t>
      </w:r>
      <w:r>
        <w:rPr>
          <w:i w:val="0"/>
          <w:lang w:val="en-US"/>
        </w:rPr>
        <w:t xml:space="preserve"> accidents with impact on the aquatic environment. </w:t>
      </w:r>
    </w:p>
    <w:p w14:paraId="2B144704" w14:textId="77777777" w:rsidR="0025448D" w:rsidRDefault="0025448D" w:rsidP="0025448D">
      <w:pPr>
        <w:pStyle w:val="CETBodytext"/>
        <w:spacing w:line="240" w:lineRule="auto"/>
        <w:rPr>
          <w:rStyle w:val="CETCaptionCarattere"/>
          <w:iCs/>
        </w:rPr>
      </w:pPr>
      <w:r>
        <w:t xml:space="preserve">Moving to Figure 2 b), </w:t>
      </w:r>
      <w:r w:rsidRPr="006E08CA">
        <w:t xml:space="preserve">while any substances from the health hazards </w:t>
      </w:r>
      <w:r>
        <w:t xml:space="preserve">category were </w:t>
      </w:r>
      <w:r w:rsidRPr="006E08CA">
        <w:t>present</w:t>
      </w:r>
      <w:r>
        <w:t xml:space="preserve">, it can be appreciated how </w:t>
      </w:r>
      <w:r w:rsidRPr="006E08CA">
        <w:t xml:space="preserve">the quantified presence of </w:t>
      </w:r>
      <w:r>
        <w:t>substances belonging to the</w:t>
      </w:r>
      <w:r w:rsidRPr="006E08CA">
        <w:t xml:space="preserve"> category </w:t>
      </w:r>
      <w:r>
        <w:t xml:space="preserve">of </w:t>
      </w:r>
      <w:r w:rsidRPr="006E08CA">
        <w:t>physical hazards falls under the minor risk facilities</w:t>
      </w:r>
      <w:r>
        <w:t>,</w:t>
      </w:r>
      <w:r w:rsidRPr="006E08CA">
        <w:t xml:space="preserve"> even below the MAPP</w:t>
      </w:r>
      <w:r>
        <w:t xml:space="preserve"> (0.02)</w:t>
      </w:r>
      <w:r w:rsidRPr="006E08CA">
        <w:t>.</w:t>
      </w:r>
      <w:r>
        <w:t xml:space="preserve"> </w:t>
      </w:r>
      <w:r w:rsidRPr="006E08CA">
        <w:t xml:space="preserve">On the contrary, the dimension of environmental hazard </w:t>
      </w:r>
      <w:r>
        <w:t>surpasses</w:t>
      </w:r>
      <w:r w:rsidRPr="006E08CA">
        <w:t xml:space="preserve"> the upper bounded value for extremely critical UTE</w:t>
      </w:r>
      <w:r>
        <w:t>, which aligns with the high quantity of combustible stored in the power production plant for its transformation into energy.</w:t>
      </w:r>
    </w:p>
    <w:p w14:paraId="43F53A19" w14:textId="3FF2CF7F" w:rsidR="0025448D" w:rsidRPr="00790F86" w:rsidRDefault="0025448D" w:rsidP="0025448D">
      <w:pPr>
        <w:pStyle w:val="CETBodytext"/>
        <w:spacing w:line="240" w:lineRule="auto"/>
        <w:rPr>
          <w:lang w:val="en-GB"/>
        </w:rPr>
      </w:pPr>
      <w:r>
        <w:rPr>
          <w:lang w:val="en-GB"/>
        </w:rPr>
        <w:t>Another visualization of previous data is offered in Figure 3</w:t>
      </w:r>
      <w:r w:rsidR="00205388">
        <w:rPr>
          <w:lang w:val="en-GB"/>
        </w:rPr>
        <w:t xml:space="preserve">, where the ratings obtained for </w:t>
      </w:r>
      <w:r w:rsidR="00C151DD" w:rsidRPr="00DC1303">
        <w:rPr>
          <w:i/>
          <w:iCs/>
          <w:lang w:val="en-GB"/>
        </w:rPr>
        <w:t>Q</w:t>
      </w:r>
      <w:r w:rsidR="00C151DD" w:rsidRPr="00D119D5">
        <w:rPr>
          <w:i/>
          <w:iCs/>
          <w:vertAlign w:val="subscript"/>
          <w:lang w:val="en-GB"/>
        </w:rPr>
        <w:t>C</w:t>
      </w:r>
      <w:r w:rsidR="00C151DD" w:rsidRPr="00432829">
        <w:rPr>
          <w:i/>
          <w:iCs/>
          <w:vertAlign w:val="subscript"/>
          <w:lang w:val="en-GB"/>
        </w:rPr>
        <w:t>a</w:t>
      </w:r>
      <w:r w:rsidR="00C151DD" w:rsidRPr="00CA3A65">
        <w:rPr>
          <w:i/>
          <w:iCs/>
          <w:lang w:val="en-GB"/>
        </w:rPr>
        <w:t>,</w:t>
      </w:r>
      <w:r w:rsidR="00C151DD">
        <w:rPr>
          <w:i/>
          <w:iCs/>
          <w:vertAlign w:val="subscript"/>
          <w:lang w:val="en-GB"/>
        </w:rPr>
        <w:t xml:space="preserve"> </w:t>
      </w:r>
      <w:r w:rsidR="00C151DD" w:rsidRPr="00DC1303">
        <w:rPr>
          <w:i/>
          <w:iCs/>
          <w:lang w:val="en-GB"/>
        </w:rPr>
        <w:t>Q</w:t>
      </w:r>
      <w:r w:rsidR="00C151DD" w:rsidRPr="00D119D5">
        <w:rPr>
          <w:i/>
          <w:iCs/>
          <w:vertAlign w:val="subscript"/>
          <w:lang w:val="en-GB"/>
        </w:rPr>
        <w:t>C</w:t>
      </w:r>
      <w:r w:rsidR="00C151DD" w:rsidRPr="00432829">
        <w:rPr>
          <w:i/>
          <w:iCs/>
          <w:vertAlign w:val="subscript"/>
          <w:lang w:val="en-GB"/>
        </w:rPr>
        <w:t>b</w:t>
      </w:r>
      <w:r w:rsidR="00C151DD" w:rsidRPr="00CA3A65">
        <w:rPr>
          <w:i/>
          <w:iCs/>
          <w:lang w:val="en-GB"/>
        </w:rPr>
        <w:t xml:space="preserve">, </w:t>
      </w:r>
      <w:r w:rsidR="00C151DD" w:rsidRPr="000754FD">
        <w:rPr>
          <w:lang w:val="en-GB"/>
        </w:rPr>
        <w:t>and</w:t>
      </w:r>
      <w:r w:rsidR="00C151DD">
        <w:rPr>
          <w:i/>
          <w:iCs/>
          <w:lang w:val="en-GB"/>
        </w:rPr>
        <w:t xml:space="preserve"> </w:t>
      </w:r>
      <w:r w:rsidR="00C151DD" w:rsidRPr="00DC1303">
        <w:rPr>
          <w:i/>
          <w:iCs/>
          <w:lang w:val="en-GB"/>
        </w:rPr>
        <w:t>Q</w:t>
      </w:r>
      <w:r w:rsidR="00C151DD" w:rsidRPr="00D119D5">
        <w:rPr>
          <w:i/>
          <w:iCs/>
          <w:vertAlign w:val="subscript"/>
          <w:lang w:val="en-GB"/>
        </w:rPr>
        <w:t>C</w:t>
      </w:r>
      <w:r w:rsidR="00C151DD" w:rsidRPr="00432829">
        <w:rPr>
          <w:i/>
          <w:iCs/>
          <w:vertAlign w:val="subscript"/>
          <w:lang w:val="en-GB"/>
        </w:rPr>
        <w:t>c</w:t>
      </w:r>
      <w:r w:rsidR="00CB1526">
        <w:rPr>
          <w:lang w:val="en-GB"/>
        </w:rPr>
        <w:t xml:space="preserve"> are represented across the different </w:t>
      </w:r>
      <w:r w:rsidR="00C151DD">
        <w:rPr>
          <w:lang w:val="en-GB"/>
        </w:rPr>
        <w:t>colour</w:t>
      </w:r>
      <w:r w:rsidR="00CB1526">
        <w:rPr>
          <w:lang w:val="en-GB"/>
        </w:rPr>
        <w:t xml:space="preserve"> classes </w:t>
      </w:r>
      <w:r w:rsidR="00C151DD">
        <w:rPr>
          <w:lang w:val="en-GB"/>
        </w:rPr>
        <w:t xml:space="preserve">of </w:t>
      </w:r>
      <w:r w:rsidR="00C151DD" w:rsidRPr="00A931D0">
        <w:rPr>
          <w:i/>
          <w:iCs/>
        </w:rPr>
        <w:t>Q</w:t>
      </w:r>
      <w:r w:rsidR="00C151DD" w:rsidRPr="00896E29">
        <w:rPr>
          <w:i/>
          <w:iCs/>
          <w:vertAlign w:val="subscript"/>
        </w:rPr>
        <w:t>Cs</w:t>
      </w:r>
      <w:r w:rsidR="00C151DD">
        <w:rPr>
          <w:lang w:val="en-GB"/>
        </w:rPr>
        <w:t xml:space="preserve"> scale (refer to Figure1)</w:t>
      </w:r>
      <w:r>
        <w:t>.</w:t>
      </w:r>
    </w:p>
    <w:p w14:paraId="70E80BEA" w14:textId="77777777" w:rsidR="00332076" w:rsidRDefault="00332076" w:rsidP="00332076">
      <w:pPr>
        <w:pStyle w:val="CETCaption"/>
        <w:rPr>
          <w:rStyle w:val="CETCaptionCarattere"/>
          <w:i/>
        </w:rPr>
      </w:pPr>
      <w:r>
        <w:rPr>
          <w:noProof/>
        </w:rPr>
        <w:drawing>
          <wp:inline distT="0" distB="0" distL="0" distR="0" wp14:anchorId="48E7FECC" wp14:editId="0726A5BD">
            <wp:extent cx="2683985" cy="1717542"/>
            <wp:effectExtent l="0" t="0" r="2540" b="0"/>
            <wp:docPr id="29668030" name="Immagine 1" descr="Immagine che contiene testo, schermata, linea,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42961" name="Immagine 1" descr="Immagine che contiene testo, schermata, linea, Policromia&#10;&#10;Descrizione generata automaticamente"/>
                    <pic:cNvPicPr/>
                  </pic:nvPicPr>
                  <pic:blipFill>
                    <a:blip r:embed="rId15"/>
                    <a:stretch>
                      <a:fillRect/>
                    </a:stretch>
                  </pic:blipFill>
                  <pic:spPr>
                    <a:xfrm>
                      <a:off x="0" y="0"/>
                      <a:ext cx="2768659" cy="1771727"/>
                    </a:xfrm>
                    <a:prstGeom prst="rect">
                      <a:avLst/>
                    </a:prstGeom>
                  </pic:spPr>
                </pic:pic>
              </a:graphicData>
            </a:graphic>
          </wp:inline>
        </w:drawing>
      </w:r>
      <w:r w:rsidRPr="005A6BC5">
        <w:rPr>
          <w:noProof/>
        </w:rPr>
        <w:t xml:space="preserve"> </w:t>
      </w:r>
      <w:r>
        <w:rPr>
          <w:noProof/>
        </w:rPr>
        <w:drawing>
          <wp:inline distT="0" distB="0" distL="0" distR="0" wp14:anchorId="70B0FE07" wp14:editId="510E3F7D">
            <wp:extent cx="2502039" cy="1751428"/>
            <wp:effectExtent l="0" t="0" r="0" b="1270"/>
            <wp:docPr id="189817927" name="Immagine 2" descr="Immagine che contiene testo, schermata, linea, Policrom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82978" name="Immagine 2" descr="Immagine che contiene testo, schermata, linea, Policromia&#10;&#10;Descrizione generata automaticamente"/>
                    <pic:cNvPicPr/>
                  </pic:nvPicPr>
                  <pic:blipFill>
                    <a:blip r:embed="rId16"/>
                    <a:stretch>
                      <a:fillRect/>
                    </a:stretch>
                  </pic:blipFill>
                  <pic:spPr>
                    <a:xfrm>
                      <a:off x="0" y="0"/>
                      <a:ext cx="2526456" cy="1768520"/>
                    </a:xfrm>
                    <a:prstGeom prst="rect">
                      <a:avLst/>
                    </a:prstGeom>
                  </pic:spPr>
                </pic:pic>
              </a:graphicData>
            </a:graphic>
          </wp:inline>
        </w:drawing>
      </w:r>
    </w:p>
    <w:p w14:paraId="111E0D11" w14:textId="1ABC2DEE" w:rsidR="00332076" w:rsidRDefault="00332076" w:rsidP="00332076">
      <w:pPr>
        <w:pStyle w:val="CETBodytext"/>
        <w:spacing w:before="240" w:after="120"/>
        <w:rPr>
          <w:rStyle w:val="CETCaptionCarattere"/>
          <w:iCs/>
        </w:rPr>
      </w:pPr>
      <w:r w:rsidRPr="00BD077D">
        <w:rPr>
          <w:rStyle w:val="CETCaptionCarattere"/>
        </w:rPr>
        <w:t xml:space="preserve">Figure </w:t>
      </w:r>
      <w:r w:rsidR="00474435">
        <w:rPr>
          <w:rStyle w:val="CETCaptionCarattere"/>
          <w:i w:val="0"/>
        </w:rPr>
        <w:t>3</w:t>
      </w:r>
      <w:r w:rsidRPr="00BD077D">
        <w:rPr>
          <w:rStyle w:val="CETCaptionCarattere"/>
        </w:rPr>
        <w:t xml:space="preserve">: </w:t>
      </w:r>
      <w:r>
        <w:rPr>
          <w:rStyle w:val="CETCaptionCarattere"/>
        </w:rPr>
        <w:t xml:space="preserve">Reference scale for the </w:t>
      </w:r>
      <w:r w:rsidRPr="00D060B2">
        <w:rPr>
          <w:rStyle w:val="CETCaptionCarattere"/>
        </w:rPr>
        <w:t>Index of compliance</w:t>
      </w:r>
      <w:r>
        <w:rPr>
          <w:rStyle w:val="CETCaptionCarattere"/>
        </w:rPr>
        <w:t xml:space="preserve"> </w:t>
      </w:r>
      <w:r w:rsidRPr="00DC1303">
        <w:rPr>
          <w:i/>
          <w:iCs/>
          <w:lang w:val="en-GB"/>
        </w:rPr>
        <w:t>Q</w:t>
      </w:r>
      <w:r w:rsidRPr="00F15F8F">
        <w:rPr>
          <w:i/>
          <w:iCs/>
          <w:vertAlign w:val="subscript"/>
          <w:lang w:val="en-GB"/>
        </w:rPr>
        <w:t>S</w:t>
      </w:r>
      <w:r w:rsidRPr="00F15F8F">
        <w:rPr>
          <w:vertAlign w:val="subscript"/>
          <w:lang w:val="en-GB"/>
        </w:rPr>
        <w:t>(</w:t>
      </w:r>
      <w:r w:rsidRPr="00EF7574">
        <w:rPr>
          <w:i/>
          <w:iCs/>
          <w:vertAlign w:val="subscript"/>
          <w:lang w:val="en-GB"/>
        </w:rPr>
        <w:t>ref</w:t>
      </w:r>
      <w:r w:rsidRPr="00F15F8F">
        <w:rPr>
          <w:vertAlign w:val="subscript"/>
          <w:lang w:val="en-GB"/>
        </w:rPr>
        <w:t>)</w:t>
      </w:r>
      <w:r w:rsidRPr="00D060B2">
        <w:rPr>
          <w:rStyle w:val="CETCaptionCarattere"/>
        </w:rPr>
        <w:t xml:space="preserve"> </w:t>
      </w:r>
      <w:r>
        <w:rPr>
          <w:rStyle w:val="CETCaptionCarattere"/>
        </w:rPr>
        <w:t>in comparison with</w:t>
      </w:r>
      <w:r w:rsidRPr="00D060B2">
        <w:rPr>
          <w:rStyle w:val="CETCaptionCarattere"/>
        </w:rPr>
        <w:t xml:space="preserve"> each dimension </w:t>
      </w:r>
      <w:r w:rsidRPr="00A10BE4">
        <w:rPr>
          <w:rStyle w:val="CETCaptionCarattere"/>
          <w:iCs/>
        </w:rPr>
        <w:t>Q</w:t>
      </w:r>
      <w:r w:rsidRPr="00AD4006">
        <w:rPr>
          <w:rStyle w:val="CETCaptionCarattere"/>
          <w:iCs/>
          <w:vertAlign w:val="subscript"/>
        </w:rPr>
        <w:t>s</w:t>
      </w:r>
      <w:r>
        <w:rPr>
          <w:rStyle w:val="CETCaptionCarattere"/>
          <w:iCs/>
        </w:rPr>
        <w:t xml:space="preserve">: a) Plant A </w:t>
      </w:r>
      <w:r w:rsidR="001A74CC">
        <w:rPr>
          <w:rStyle w:val="CETCaptionCarattere"/>
          <w:iCs/>
        </w:rPr>
        <w:t xml:space="preserve">(chemical </w:t>
      </w:r>
      <w:r>
        <w:rPr>
          <w:rStyle w:val="CETCaptionCarattere"/>
          <w:iCs/>
        </w:rPr>
        <w:t>industry</w:t>
      </w:r>
      <w:r w:rsidR="001A74CC">
        <w:rPr>
          <w:rStyle w:val="CETCaptionCarattere"/>
          <w:iCs/>
        </w:rPr>
        <w:t>)</w:t>
      </w:r>
      <w:r>
        <w:rPr>
          <w:rStyle w:val="CETCaptionCarattere"/>
          <w:iCs/>
        </w:rPr>
        <w:t xml:space="preserve">. b) Plant B </w:t>
      </w:r>
      <w:r w:rsidR="001A74CC">
        <w:rPr>
          <w:rStyle w:val="CETCaptionCarattere"/>
          <w:iCs/>
        </w:rPr>
        <w:t>(</w:t>
      </w:r>
      <w:r>
        <w:rPr>
          <w:rStyle w:val="CETCaptionCarattere"/>
          <w:iCs/>
        </w:rPr>
        <w:t>power production industry</w:t>
      </w:r>
      <w:r w:rsidR="001A74CC">
        <w:rPr>
          <w:rStyle w:val="CETCaptionCarattere"/>
          <w:iCs/>
        </w:rPr>
        <w:t>)</w:t>
      </w:r>
      <w:r>
        <w:rPr>
          <w:rStyle w:val="CETCaptionCarattere"/>
          <w:iCs/>
        </w:rPr>
        <w:t>.</w:t>
      </w:r>
    </w:p>
    <w:p w14:paraId="08A25B75" w14:textId="403AB357" w:rsidR="009C5D20" w:rsidRPr="00210859" w:rsidRDefault="00C151DD" w:rsidP="006A1CBD">
      <w:pPr>
        <w:pStyle w:val="CETCaption"/>
        <w:spacing w:before="0" w:after="0"/>
        <w:rPr>
          <w:i w:val="0"/>
          <w:lang w:val="en-US"/>
        </w:rPr>
      </w:pPr>
      <w:r>
        <w:rPr>
          <w:i w:val="0"/>
          <w:lang w:val="en-US"/>
        </w:rPr>
        <w:t xml:space="preserve">Summarizing, </w:t>
      </w:r>
      <w:r w:rsidR="00603F28" w:rsidRPr="0026234E">
        <w:rPr>
          <w:i w:val="0"/>
          <w:lang w:val="en-US"/>
        </w:rPr>
        <w:t xml:space="preserve">the </w:t>
      </w:r>
      <w:r w:rsidR="00722648" w:rsidRPr="0026234E">
        <w:rPr>
          <w:i w:val="0"/>
          <w:lang w:val="en-US"/>
        </w:rPr>
        <w:t>potential</w:t>
      </w:r>
      <w:r w:rsidR="00AB6544">
        <w:rPr>
          <w:i w:val="0"/>
          <w:lang w:val="en-US"/>
        </w:rPr>
        <w:t xml:space="preserve"> of</w:t>
      </w:r>
      <w:r w:rsidR="00603F28" w:rsidRPr="0026234E">
        <w:rPr>
          <w:i w:val="0"/>
          <w:lang w:val="en-US"/>
        </w:rPr>
        <w:t xml:space="preserve"> </w:t>
      </w:r>
      <w:r w:rsidR="00AB6544">
        <w:rPr>
          <w:i w:val="0"/>
          <w:lang w:val="en-US"/>
        </w:rPr>
        <w:t xml:space="preserve">major </w:t>
      </w:r>
      <w:r w:rsidR="00603F28" w:rsidRPr="0026234E">
        <w:rPr>
          <w:i w:val="0"/>
          <w:lang w:val="en-US"/>
        </w:rPr>
        <w:t xml:space="preserve">toxic scenarios </w:t>
      </w:r>
      <w:r w:rsidR="00314199">
        <w:rPr>
          <w:i w:val="0"/>
          <w:lang w:val="en-US"/>
        </w:rPr>
        <w:t xml:space="preserve">in Plant </w:t>
      </w:r>
      <w:r w:rsidR="00722648">
        <w:rPr>
          <w:i w:val="0"/>
          <w:lang w:val="en-US"/>
        </w:rPr>
        <w:t>A</w:t>
      </w:r>
      <w:r w:rsidR="00314199" w:rsidRPr="0026234E">
        <w:rPr>
          <w:i w:val="0"/>
          <w:lang w:val="en-US"/>
        </w:rPr>
        <w:t xml:space="preserve"> </w:t>
      </w:r>
      <w:r w:rsidR="00603F28" w:rsidRPr="0026234E">
        <w:rPr>
          <w:i w:val="0"/>
          <w:lang w:val="en-US"/>
        </w:rPr>
        <w:t xml:space="preserve">may arise in case </w:t>
      </w:r>
      <w:r w:rsidR="00722648" w:rsidRPr="0026234E">
        <w:rPr>
          <w:i w:val="0"/>
          <w:lang w:val="en-US"/>
        </w:rPr>
        <w:t>of accidents</w:t>
      </w:r>
      <w:r w:rsidR="00AB6544">
        <w:rPr>
          <w:i w:val="0"/>
          <w:lang w:val="en-US"/>
        </w:rPr>
        <w:t>,</w:t>
      </w:r>
      <w:r w:rsidR="00076DFD">
        <w:rPr>
          <w:i w:val="0"/>
          <w:lang w:val="en-US"/>
        </w:rPr>
        <w:t xml:space="preserve"> with </w:t>
      </w:r>
      <w:r w:rsidR="00603F28" w:rsidRPr="0026234E">
        <w:rPr>
          <w:i w:val="0"/>
          <w:lang w:val="en-US"/>
        </w:rPr>
        <w:t>catastrophic consequences for the people involved</w:t>
      </w:r>
      <w:r w:rsidR="00076DFD">
        <w:rPr>
          <w:i w:val="0"/>
          <w:lang w:val="en-US"/>
        </w:rPr>
        <w:t xml:space="preserve"> (</w:t>
      </w:r>
      <w:r w:rsidR="00076DFD" w:rsidRPr="00F60149">
        <w:rPr>
          <w:iCs/>
        </w:rPr>
        <w:t>C</w:t>
      </w:r>
      <w:r w:rsidR="00076DFD" w:rsidRPr="00F60149">
        <w:rPr>
          <w:iCs/>
          <w:vertAlign w:val="subscript"/>
        </w:rPr>
        <w:t>a</w:t>
      </w:r>
      <w:r w:rsidR="00076DFD">
        <w:rPr>
          <w:i w:val="0"/>
          <w:lang w:val="en-US"/>
        </w:rPr>
        <w:t>)</w:t>
      </w:r>
      <w:r w:rsidR="00603F28" w:rsidRPr="0026234E">
        <w:rPr>
          <w:i w:val="0"/>
          <w:lang w:val="en-US"/>
        </w:rPr>
        <w:t xml:space="preserve">. It is noteworthy </w:t>
      </w:r>
      <w:r w:rsidR="00353085" w:rsidRPr="0026234E">
        <w:rPr>
          <w:i w:val="0"/>
          <w:lang w:val="en-US"/>
        </w:rPr>
        <w:t>that</w:t>
      </w:r>
      <w:r w:rsidR="00603F28" w:rsidRPr="0026234E">
        <w:rPr>
          <w:i w:val="0"/>
          <w:lang w:val="en-US"/>
        </w:rPr>
        <w:t xml:space="preserve"> spills of substances with an impact on the environment can </w:t>
      </w:r>
      <w:r w:rsidR="00210859">
        <w:rPr>
          <w:i w:val="0"/>
          <w:lang w:val="en-US"/>
        </w:rPr>
        <w:t xml:space="preserve">also </w:t>
      </w:r>
      <w:r w:rsidR="00603F28" w:rsidRPr="0026234E">
        <w:rPr>
          <w:i w:val="0"/>
          <w:lang w:val="en-US"/>
        </w:rPr>
        <w:t>create major disasters</w:t>
      </w:r>
      <w:r w:rsidR="00210859">
        <w:rPr>
          <w:i w:val="0"/>
          <w:lang w:val="en-US"/>
        </w:rPr>
        <w:t xml:space="preserve"> (</w:t>
      </w:r>
      <w:r w:rsidR="00210859" w:rsidRPr="00F60149">
        <w:rPr>
          <w:iCs/>
        </w:rPr>
        <w:t>C</w:t>
      </w:r>
      <w:r w:rsidR="00210859">
        <w:rPr>
          <w:iCs/>
          <w:vertAlign w:val="subscript"/>
        </w:rPr>
        <w:t>c</w:t>
      </w:r>
      <w:r w:rsidR="00210859">
        <w:rPr>
          <w:i w:val="0"/>
          <w:lang w:val="en-US"/>
        </w:rPr>
        <w:t>)</w:t>
      </w:r>
      <w:r w:rsidR="00603F28" w:rsidRPr="0026234E">
        <w:rPr>
          <w:i w:val="0"/>
          <w:lang w:val="en-US"/>
        </w:rPr>
        <w:t>.</w:t>
      </w:r>
      <w:r w:rsidR="009C5D20" w:rsidRPr="009C5D20">
        <w:t xml:space="preserve"> </w:t>
      </w:r>
      <w:r w:rsidR="009C5D20" w:rsidRPr="009C5D20">
        <w:rPr>
          <w:i w:val="0"/>
          <w:lang w:val="en-US"/>
        </w:rPr>
        <w:t xml:space="preserve">In conclusion, </w:t>
      </w:r>
      <w:r w:rsidR="00722648" w:rsidRPr="009C5D20">
        <w:rPr>
          <w:i w:val="0"/>
          <w:lang w:val="en-US"/>
        </w:rPr>
        <w:t>plant</w:t>
      </w:r>
      <w:r w:rsidR="00292465">
        <w:rPr>
          <w:i w:val="0"/>
          <w:lang w:val="en-US"/>
        </w:rPr>
        <w:t xml:space="preserve"> A</w:t>
      </w:r>
      <w:r w:rsidR="009C5D20" w:rsidRPr="009C5D20">
        <w:rPr>
          <w:i w:val="0"/>
          <w:lang w:val="en-US"/>
        </w:rPr>
        <w:t xml:space="preserve"> is an industry that requires special control and monitoring by regulators and local authorities</w:t>
      </w:r>
      <w:r w:rsidR="00BF5313">
        <w:rPr>
          <w:i w:val="0"/>
          <w:lang w:val="en-US"/>
        </w:rPr>
        <w:t xml:space="preserve">. </w:t>
      </w:r>
      <w:r w:rsidR="00FD0A4E">
        <w:rPr>
          <w:i w:val="0"/>
          <w:lang w:val="en-US"/>
        </w:rPr>
        <w:t xml:space="preserve">On the other hand, </w:t>
      </w:r>
      <w:r w:rsidR="00292465">
        <w:rPr>
          <w:i w:val="0"/>
          <w:lang w:val="en-US"/>
        </w:rPr>
        <w:t xml:space="preserve">in </w:t>
      </w:r>
      <w:r w:rsidR="00FD0A4E">
        <w:rPr>
          <w:i w:val="0"/>
          <w:lang w:val="en-US"/>
        </w:rPr>
        <w:t xml:space="preserve">Plant B </w:t>
      </w:r>
      <w:r w:rsidR="00EB72EF">
        <w:rPr>
          <w:i w:val="0"/>
          <w:lang w:val="en-US"/>
        </w:rPr>
        <w:t>the results</w:t>
      </w:r>
      <w:r w:rsidR="00A45C7E">
        <w:rPr>
          <w:i w:val="0"/>
          <w:vertAlign w:val="subscript"/>
          <w:lang w:val="en-US"/>
        </w:rPr>
        <w:t xml:space="preserve"> </w:t>
      </w:r>
      <w:r w:rsidR="00A100DC" w:rsidRPr="00F01245">
        <w:rPr>
          <w:i w:val="0"/>
          <w:lang w:val="en-US"/>
        </w:rPr>
        <w:t xml:space="preserve">highlight the </w:t>
      </w:r>
      <w:r w:rsidR="00C5205A" w:rsidRPr="00F01245">
        <w:rPr>
          <w:i w:val="0"/>
          <w:lang w:val="en-US"/>
        </w:rPr>
        <w:t xml:space="preserve">catastrophic consequences associated </w:t>
      </w:r>
      <w:r w:rsidR="00C93060">
        <w:rPr>
          <w:i w:val="0"/>
          <w:lang w:val="en-US"/>
        </w:rPr>
        <w:t>with</w:t>
      </w:r>
      <w:r w:rsidR="00C5205A" w:rsidRPr="00F01245">
        <w:rPr>
          <w:i w:val="0"/>
          <w:lang w:val="en-US"/>
        </w:rPr>
        <w:t xml:space="preserve"> chronic toxicity </w:t>
      </w:r>
      <w:r w:rsidR="00F01245" w:rsidRPr="00F01245">
        <w:rPr>
          <w:i w:val="0"/>
          <w:lang w:val="en-US"/>
        </w:rPr>
        <w:t xml:space="preserve">to aquatic life with long-lasting effects in case of </w:t>
      </w:r>
      <w:r w:rsidR="00C93060">
        <w:rPr>
          <w:i w:val="0"/>
          <w:lang w:val="en-US"/>
        </w:rPr>
        <w:t xml:space="preserve">a </w:t>
      </w:r>
      <w:r w:rsidR="00F01245" w:rsidRPr="00F01245">
        <w:rPr>
          <w:i w:val="0"/>
          <w:lang w:val="en-US"/>
        </w:rPr>
        <w:t xml:space="preserve">major </w:t>
      </w:r>
      <w:r w:rsidR="00722648" w:rsidRPr="00F01245">
        <w:rPr>
          <w:i w:val="0"/>
          <w:lang w:val="en-US"/>
        </w:rPr>
        <w:t>accident</w:t>
      </w:r>
      <w:r w:rsidR="00210859">
        <w:rPr>
          <w:i w:val="0"/>
          <w:lang w:val="en-US"/>
        </w:rPr>
        <w:t xml:space="preserve"> (</w:t>
      </w:r>
      <w:r w:rsidR="00210859" w:rsidRPr="00F60149">
        <w:rPr>
          <w:iCs/>
        </w:rPr>
        <w:t>C</w:t>
      </w:r>
      <w:r w:rsidR="00210859">
        <w:rPr>
          <w:iCs/>
          <w:vertAlign w:val="subscript"/>
        </w:rPr>
        <w:t>c</w:t>
      </w:r>
      <w:r w:rsidR="00210859">
        <w:rPr>
          <w:i w:val="0"/>
          <w:lang w:val="en-US"/>
        </w:rPr>
        <w:t>)</w:t>
      </w:r>
      <w:r w:rsidR="00F01245" w:rsidRPr="00F01245">
        <w:rPr>
          <w:i w:val="0"/>
          <w:lang w:val="en-US"/>
        </w:rPr>
        <w:t>.</w:t>
      </w:r>
    </w:p>
    <w:p w14:paraId="68D26B83" w14:textId="77777777" w:rsidR="00600535" w:rsidRPr="00B57B36" w:rsidRDefault="00600535" w:rsidP="00600535">
      <w:pPr>
        <w:pStyle w:val="CETHeading1"/>
        <w:rPr>
          <w:lang w:val="en-GB"/>
        </w:rPr>
      </w:pPr>
      <w:r w:rsidRPr="00B57B36">
        <w:rPr>
          <w:lang w:val="en-GB"/>
        </w:rPr>
        <w:lastRenderedPageBreak/>
        <w:t>Conclusions</w:t>
      </w:r>
    </w:p>
    <w:p w14:paraId="740DAB59" w14:textId="7C248AC6" w:rsidR="00F80CCB" w:rsidRDefault="00916F1C" w:rsidP="00224216">
      <w:pPr>
        <w:pStyle w:val="CETBodytext"/>
        <w:rPr>
          <w:lang w:val="en-GB"/>
        </w:rPr>
      </w:pPr>
      <w:r>
        <w:rPr>
          <w:lang w:val="en-GB"/>
        </w:rPr>
        <w:t>Here is presented</w:t>
      </w:r>
      <w:r w:rsidR="00224216" w:rsidRPr="00224216">
        <w:rPr>
          <w:lang w:val="en-GB"/>
        </w:rPr>
        <w:t xml:space="preserve"> a comprehensive framework for assessing the potential for major accidents </w:t>
      </w:r>
      <w:r w:rsidR="00CA2BA6" w:rsidRPr="00CA2BA6">
        <w:rPr>
          <w:lang w:val="en-GB"/>
        </w:rPr>
        <w:t>extend</w:t>
      </w:r>
      <w:r w:rsidR="00CA2BA6">
        <w:rPr>
          <w:lang w:val="en-GB"/>
        </w:rPr>
        <w:t>ing</w:t>
      </w:r>
      <w:r w:rsidR="00CA2BA6" w:rsidRPr="00CA2BA6">
        <w:rPr>
          <w:lang w:val="en-GB"/>
        </w:rPr>
        <w:t xml:space="preserve"> the effective safety management ensured by European regulations to companies that are not subject to these </w:t>
      </w:r>
      <w:r w:rsidR="00DA4D74" w:rsidRPr="00CA2BA6">
        <w:rPr>
          <w:lang w:val="en-GB"/>
        </w:rPr>
        <w:t>regulations</w:t>
      </w:r>
      <w:r w:rsidR="00DA4D74">
        <w:rPr>
          <w:lang w:val="en-GB"/>
        </w:rPr>
        <w:t xml:space="preserve"> but </w:t>
      </w:r>
      <w:r w:rsidR="0064260C" w:rsidRPr="00224216">
        <w:rPr>
          <w:lang w:val="en-GB"/>
        </w:rPr>
        <w:t>may still present significant risks</w:t>
      </w:r>
      <w:r w:rsidR="00CA2BA6" w:rsidRPr="00CA2BA6">
        <w:rPr>
          <w:lang w:val="en-GB"/>
        </w:rPr>
        <w:t xml:space="preserve">. Additionally, it aims to enhance support for design and operational decisions in </w:t>
      </w:r>
      <w:r w:rsidR="00DA4D74">
        <w:rPr>
          <w:lang w:val="en-GB"/>
        </w:rPr>
        <w:t>major establishments</w:t>
      </w:r>
      <w:r w:rsidR="00CA2BA6" w:rsidRPr="00CA2BA6">
        <w:rPr>
          <w:lang w:val="en-GB"/>
        </w:rPr>
        <w:t xml:space="preserve"> by introducing a more detailed risk-based classification.</w:t>
      </w:r>
    </w:p>
    <w:p w14:paraId="1A82C4D8" w14:textId="20ECCAD6" w:rsidR="00224216" w:rsidRPr="00224216" w:rsidRDefault="00BF69A0" w:rsidP="00224216">
      <w:pPr>
        <w:pStyle w:val="CETBodytext"/>
        <w:rPr>
          <w:lang w:val="en-GB"/>
        </w:rPr>
      </w:pPr>
      <w:r>
        <w:rPr>
          <w:lang w:val="en-GB"/>
        </w:rPr>
        <w:t>T</w:t>
      </w:r>
      <w:r w:rsidR="00BE5394">
        <w:rPr>
          <w:lang w:val="en-GB"/>
        </w:rPr>
        <w:t>wo</w:t>
      </w:r>
      <w:r>
        <w:rPr>
          <w:lang w:val="en-GB"/>
        </w:rPr>
        <w:t xml:space="preserve"> c</w:t>
      </w:r>
      <w:r w:rsidR="00224216" w:rsidRPr="00224216">
        <w:rPr>
          <w:lang w:val="en-GB"/>
        </w:rPr>
        <w:t>ase studies from different upper-tier establishments belonging to different industrial macro-sectors illustrate</w:t>
      </w:r>
      <w:r>
        <w:rPr>
          <w:lang w:val="en-GB"/>
        </w:rPr>
        <w:t>d</w:t>
      </w:r>
      <w:r w:rsidR="00224216" w:rsidRPr="00224216">
        <w:rPr>
          <w:lang w:val="en-GB"/>
        </w:rPr>
        <w:t xml:space="preserve"> the methodology application</w:t>
      </w:r>
      <w:r>
        <w:rPr>
          <w:lang w:val="en-GB"/>
        </w:rPr>
        <w:t xml:space="preserve">, </w:t>
      </w:r>
      <w:r w:rsidR="00224216" w:rsidRPr="00224216">
        <w:rPr>
          <w:lang w:val="en-GB"/>
        </w:rPr>
        <w:t>demonstrat</w:t>
      </w:r>
      <w:r>
        <w:rPr>
          <w:lang w:val="en-GB"/>
        </w:rPr>
        <w:t>ing</w:t>
      </w:r>
      <w:r w:rsidR="00224216" w:rsidRPr="00224216">
        <w:rPr>
          <w:lang w:val="en-GB"/>
        </w:rPr>
        <w:t xml:space="preserve"> the utility of the framework in alerting high-risk scenarios.</w:t>
      </w:r>
    </w:p>
    <w:p w14:paraId="1EBC5C91" w14:textId="596988F4" w:rsidR="0062615E" w:rsidRPr="0062615E" w:rsidRDefault="00BA3B5B" w:rsidP="0062615E">
      <w:pPr>
        <w:pStyle w:val="CETBodytext"/>
        <w:rPr>
          <w:lang w:val="en-GB"/>
        </w:rPr>
      </w:pPr>
      <w:r w:rsidRPr="00BA3B5B">
        <w:rPr>
          <w:lang w:val="en-GB"/>
        </w:rPr>
        <w:t>The outcomes help guide stakeholder oversight in enhancing safety protocols and barriers tailored to critical scenarios that may arise across various industrial sectors. Additionally, they support multi-risk assessments based on the remaining established criteria for reporting major accidents.</w:t>
      </w:r>
    </w:p>
    <w:p w14:paraId="52DAFDE0" w14:textId="245D51DA" w:rsidR="001D0CFB" w:rsidRDefault="0062615E" w:rsidP="0062615E">
      <w:pPr>
        <w:pStyle w:val="CETBodytext"/>
        <w:rPr>
          <w:lang w:val="en-GB"/>
        </w:rPr>
      </w:pPr>
      <w:r w:rsidRPr="0062615E">
        <w:rPr>
          <w:lang w:val="en-GB"/>
        </w:rPr>
        <w:t xml:space="preserve">The insights provided offer valuable discussion points for regulators and policymakers, particularly in strengthening the current Seveso </w:t>
      </w:r>
      <w:r w:rsidR="0074782C">
        <w:rPr>
          <w:lang w:val="en-GB"/>
        </w:rPr>
        <w:t>legal</w:t>
      </w:r>
      <w:r w:rsidR="0074782C" w:rsidRPr="0062615E">
        <w:rPr>
          <w:lang w:val="en-GB"/>
        </w:rPr>
        <w:t xml:space="preserve"> </w:t>
      </w:r>
      <w:r w:rsidRPr="0062615E">
        <w:rPr>
          <w:lang w:val="en-GB"/>
        </w:rPr>
        <w:t>framework, which has not been updated or amended since 2012. Furthermore, this research has implications for policymakers and industry stakeholders in light of the upcoming transposition of Directive (EU) 2022/2557 on the resilience of critical entities. Under this directive, the criticality of an entity is determined based on the essential services it provides to the community, regardless of whether the facility is classified as Seveso or non-Seveso.</w:t>
      </w:r>
      <w:r w:rsidR="0074782C">
        <w:rPr>
          <w:lang w:val="en-GB"/>
        </w:rPr>
        <w:t xml:space="preserve"> Hence, </w:t>
      </w:r>
      <w:r w:rsidRPr="0062615E">
        <w:rPr>
          <w:lang w:val="en-GB"/>
        </w:rPr>
        <w:t>integral risk assessment, aiming to be comprehensive in addressing all hazards, is envisioned in alignment with the Sendai Framework for Disaster Risk Reduction</w:t>
      </w:r>
      <w:r w:rsidR="00B62C12">
        <w:rPr>
          <w:lang w:val="en-GB"/>
        </w:rPr>
        <w:t>, where the substance criteria might create interplay with other risks.</w:t>
      </w:r>
    </w:p>
    <w:p w14:paraId="459D05E6" w14:textId="4B76457E" w:rsidR="00600535" w:rsidRPr="00B57B36" w:rsidRDefault="00600535" w:rsidP="00600535">
      <w:pPr>
        <w:pStyle w:val="CETAcknowledgementstitle"/>
      </w:pPr>
      <w:r w:rsidRPr="00B57B36">
        <w:t>Acknowledgments</w:t>
      </w:r>
    </w:p>
    <w:p w14:paraId="33F8138F" w14:textId="463889D4" w:rsidR="00600535" w:rsidRPr="00B57B36" w:rsidRDefault="00FC5FCF" w:rsidP="00600535">
      <w:pPr>
        <w:pStyle w:val="CETBodytext"/>
        <w:rPr>
          <w:lang w:val="en-GB"/>
        </w:rPr>
      </w:pPr>
      <w:r w:rsidRPr="00FC5FCF">
        <w:rPr>
          <w:lang w:val="en-GB"/>
        </w:rPr>
        <w:t>This study was carried out within the RETURN Extended Partnership and received funding from the European Union Next-GenerationEU (National Recovery and Resilience Plan – NRRP, Mission 4, Component 2, Investment 1.3 – D.D. 1243 2/8/2022, PE0000005)</w:t>
      </w:r>
      <w:r w:rsidR="00600535" w:rsidRPr="00B57B36">
        <w:rPr>
          <w:lang w:val="en-GB"/>
        </w:rPr>
        <w:t>.</w:t>
      </w:r>
    </w:p>
    <w:p w14:paraId="4F1327F8" w14:textId="77777777" w:rsidR="00600535" w:rsidRDefault="00600535" w:rsidP="00600535">
      <w:pPr>
        <w:pStyle w:val="CETReference"/>
      </w:pPr>
      <w:r w:rsidRPr="00B57B36">
        <w:t>References</w:t>
      </w:r>
    </w:p>
    <w:p w14:paraId="248CDFFF" w14:textId="5C1B2B8F" w:rsidR="00507434" w:rsidRPr="005B1227" w:rsidRDefault="002120AD" w:rsidP="00507434">
      <w:pPr>
        <w:pStyle w:val="Nessunaspaziatura"/>
        <w:spacing w:before="0"/>
        <w:ind w:left="706" w:hanging="706"/>
        <w:rPr>
          <w:rFonts w:ascii="Arial" w:eastAsia="Times New Roman" w:hAnsi="Arial"/>
          <w:sz w:val="18"/>
          <w:szCs w:val="20"/>
          <w:lang w:val="en-GB"/>
        </w:rPr>
      </w:pPr>
      <w:r w:rsidRPr="0086398D">
        <w:rPr>
          <w:rFonts w:ascii="Arial" w:eastAsia="Times New Roman" w:hAnsi="Arial"/>
          <w:sz w:val="18"/>
          <w:szCs w:val="20"/>
          <w:lang w:val="en-US"/>
        </w:rPr>
        <w:t>Casson Moreno, V., Reniers, G., Salzano, E., Cozzani, V., 2018</w:t>
      </w:r>
      <w:r w:rsidR="004110D4" w:rsidRPr="0086398D">
        <w:rPr>
          <w:rFonts w:ascii="Arial" w:eastAsia="Times New Roman" w:hAnsi="Arial"/>
          <w:sz w:val="18"/>
          <w:szCs w:val="20"/>
          <w:lang w:val="en-US"/>
        </w:rPr>
        <w:t>,</w:t>
      </w:r>
      <w:r w:rsidRPr="0086398D">
        <w:rPr>
          <w:rFonts w:ascii="Arial" w:eastAsia="Times New Roman" w:hAnsi="Arial"/>
          <w:sz w:val="18"/>
          <w:szCs w:val="20"/>
          <w:lang w:val="en-US"/>
        </w:rPr>
        <w:t xml:space="preserve"> </w:t>
      </w:r>
      <w:r w:rsidRPr="005B1227">
        <w:rPr>
          <w:rFonts w:ascii="Arial" w:eastAsia="Times New Roman" w:hAnsi="Arial"/>
          <w:sz w:val="18"/>
          <w:szCs w:val="20"/>
          <w:lang w:val="en-GB"/>
        </w:rPr>
        <w:t>Analysis of physical and cyber security-related events in the chemical and process industry</w:t>
      </w:r>
      <w:r w:rsidR="004110D4">
        <w:rPr>
          <w:rFonts w:ascii="Arial" w:eastAsia="Times New Roman" w:hAnsi="Arial"/>
          <w:sz w:val="18"/>
          <w:szCs w:val="20"/>
          <w:lang w:val="en-GB"/>
        </w:rPr>
        <w:t>,</w:t>
      </w:r>
      <w:r w:rsidRPr="005B1227">
        <w:rPr>
          <w:rFonts w:ascii="Arial" w:eastAsia="Times New Roman" w:hAnsi="Arial"/>
          <w:sz w:val="18"/>
          <w:szCs w:val="20"/>
          <w:lang w:val="en-GB"/>
        </w:rPr>
        <w:t xml:space="preserve"> Process Safety and Environmental Protection 116, 621–631. </w:t>
      </w:r>
      <w:r w:rsidR="0086398D">
        <w:rPr>
          <w:rFonts w:ascii="Arial" w:eastAsia="Times New Roman" w:hAnsi="Arial"/>
          <w:sz w:val="18"/>
          <w:szCs w:val="20"/>
          <w:lang w:val="en-GB"/>
        </w:rPr>
        <w:t>&lt;</w:t>
      </w:r>
      <w:r w:rsidR="00507434" w:rsidRPr="005B1227">
        <w:rPr>
          <w:rFonts w:ascii="Arial" w:eastAsia="Times New Roman" w:hAnsi="Arial"/>
          <w:sz w:val="18"/>
          <w:szCs w:val="20"/>
          <w:lang w:val="en-GB"/>
        </w:rPr>
        <w:t>10.1016/j.psep.2018.03.026</w:t>
      </w:r>
      <w:r w:rsidR="0086398D">
        <w:rPr>
          <w:rFonts w:ascii="Arial" w:eastAsia="Times New Roman" w:hAnsi="Arial"/>
          <w:sz w:val="18"/>
          <w:szCs w:val="20"/>
          <w:lang w:val="en-GB"/>
        </w:rPr>
        <w:t>&gt;</w:t>
      </w:r>
    </w:p>
    <w:p w14:paraId="3955D1C2" w14:textId="7839DB25" w:rsidR="00AC22F3" w:rsidRPr="005B1227" w:rsidRDefault="00AC22F3" w:rsidP="00AC22F3">
      <w:pPr>
        <w:pStyle w:val="Nessunaspaziatura"/>
        <w:spacing w:before="0"/>
        <w:ind w:left="706" w:hanging="706"/>
        <w:rPr>
          <w:rFonts w:ascii="Arial" w:eastAsia="Times New Roman" w:hAnsi="Arial"/>
          <w:sz w:val="18"/>
          <w:szCs w:val="20"/>
          <w:lang w:val="en-GB"/>
        </w:rPr>
      </w:pPr>
      <w:r w:rsidRPr="0086398D">
        <w:rPr>
          <w:rFonts w:ascii="Arial" w:eastAsia="Times New Roman" w:hAnsi="Arial"/>
          <w:sz w:val="18"/>
          <w:szCs w:val="20"/>
          <w:lang w:val="en-GB"/>
        </w:rPr>
        <w:t>Castro Rodriguez, D.J., Pilone, E., Camuncoli, G., Demichela, M., 2023</w:t>
      </w:r>
      <w:r w:rsidR="00DD1252">
        <w:rPr>
          <w:rFonts w:ascii="Arial" w:eastAsia="Times New Roman" w:hAnsi="Arial"/>
          <w:sz w:val="18"/>
          <w:szCs w:val="20"/>
          <w:lang w:val="en-GB"/>
        </w:rPr>
        <w:t>a</w:t>
      </w:r>
      <w:r w:rsidR="0086398D" w:rsidRPr="0086398D">
        <w:rPr>
          <w:rFonts w:ascii="Arial" w:eastAsia="Times New Roman" w:hAnsi="Arial"/>
          <w:sz w:val="18"/>
          <w:szCs w:val="20"/>
          <w:lang w:val="en-GB"/>
        </w:rPr>
        <w:t>,</w:t>
      </w:r>
      <w:r w:rsidRPr="0086398D">
        <w:rPr>
          <w:rFonts w:ascii="Arial" w:eastAsia="Times New Roman" w:hAnsi="Arial"/>
          <w:sz w:val="18"/>
          <w:szCs w:val="20"/>
          <w:lang w:val="en-GB"/>
        </w:rPr>
        <w:t xml:space="preserve"> </w:t>
      </w:r>
      <w:r w:rsidRPr="005B1227">
        <w:rPr>
          <w:rFonts w:ascii="Arial" w:eastAsia="Times New Roman" w:hAnsi="Arial"/>
          <w:sz w:val="18"/>
          <w:szCs w:val="20"/>
          <w:lang w:val="en-GB"/>
        </w:rPr>
        <w:t>Implementation of a NaTech vulnerability index in</w:t>
      </w:r>
      <w:r w:rsidR="0086398D">
        <w:rPr>
          <w:rFonts w:ascii="Arial" w:eastAsia="Times New Roman" w:hAnsi="Arial"/>
          <w:sz w:val="18"/>
          <w:szCs w:val="20"/>
          <w:lang w:val="en-GB"/>
        </w:rPr>
        <w:t xml:space="preserve"> </w:t>
      </w:r>
      <w:r w:rsidRPr="005B1227">
        <w:rPr>
          <w:rFonts w:ascii="Arial" w:eastAsia="Times New Roman" w:hAnsi="Arial"/>
          <w:sz w:val="18"/>
          <w:szCs w:val="20"/>
          <w:lang w:val="en-GB"/>
        </w:rPr>
        <w:t>a Seveso plant</w:t>
      </w:r>
      <w:r w:rsidR="0086398D">
        <w:rPr>
          <w:rFonts w:ascii="Arial" w:eastAsia="Times New Roman" w:hAnsi="Arial"/>
          <w:sz w:val="18"/>
          <w:szCs w:val="20"/>
          <w:lang w:val="en-GB"/>
        </w:rPr>
        <w:t>,</w:t>
      </w:r>
      <w:r w:rsidRPr="005B1227">
        <w:rPr>
          <w:rFonts w:ascii="Arial" w:eastAsia="Times New Roman" w:hAnsi="Arial"/>
          <w:sz w:val="18"/>
          <w:szCs w:val="20"/>
          <w:lang w:val="en-GB"/>
        </w:rPr>
        <w:t xml:space="preserve"> Chemical Engineering Transactions 100, 43–48. </w:t>
      </w:r>
      <w:r w:rsidR="0086398D">
        <w:rPr>
          <w:rFonts w:ascii="Arial" w:eastAsia="Times New Roman" w:hAnsi="Arial"/>
          <w:sz w:val="18"/>
          <w:szCs w:val="20"/>
          <w:lang w:val="en-GB"/>
        </w:rPr>
        <w:t>&lt;</w:t>
      </w:r>
      <w:r w:rsidRPr="005B1227">
        <w:rPr>
          <w:rFonts w:ascii="Arial" w:eastAsia="Times New Roman" w:hAnsi="Arial"/>
          <w:sz w:val="18"/>
          <w:szCs w:val="20"/>
          <w:lang w:val="en-GB"/>
        </w:rPr>
        <w:t>10.3303/CET23100008</w:t>
      </w:r>
      <w:r w:rsidR="0086398D">
        <w:rPr>
          <w:rFonts w:ascii="Arial" w:eastAsia="Times New Roman" w:hAnsi="Arial"/>
          <w:sz w:val="18"/>
          <w:szCs w:val="20"/>
          <w:lang w:val="en-GB"/>
        </w:rPr>
        <w:t>&gt;</w:t>
      </w:r>
    </w:p>
    <w:p w14:paraId="1C58216D" w14:textId="6F0ABA3F" w:rsidR="0067090B" w:rsidRPr="005B1227" w:rsidRDefault="00507434" w:rsidP="0067090B">
      <w:pPr>
        <w:pStyle w:val="Nessunaspaziatura"/>
        <w:spacing w:before="0"/>
        <w:ind w:left="706" w:hanging="706"/>
        <w:rPr>
          <w:rFonts w:ascii="Arial" w:eastAsia="Times New Roman" w:hAnsi="Arial"/>
          <w:sz w:val="18"/>
          <w:szCs w:val="20"/>
          <w:lang w:val="en-GB"/>
        </w:rPr>
      </w:pPr>
      <w:r w:rsidRPr="00AC22F3">
        <w:rPr>
          <w:rFonts w:ascii="Arial" w:eastAsia="Times New Roman" w:hAnsi="Arial"/>
          <w:sz w:val="18"/>
          <w:szCs w:val="20"/>
          <w:lang w:val="en-US"/>
        </w:rPr>
        <w:t>Castro Rodriguez, D.J., Demichela, M., Beltramino, S., Scalas, M., Brunetta, G., Barresi, A., 2023</w:t>
      </w:r>
      <w:r w:rsidR="00AC22F3">
        <w:rPr>
          <w:rFonts w:ascii="Arial" w:eastAsia="Times New Roman" w:hAnsi="Arial"/>
          <w:sz w:val="18"/>
          <w:szCs w:val="20"/>
          <w:lang w:val="en-US"/>
        </w:rPr>
        <w:t>b</w:t>
      </w:r>
      <w:r w:rsidR="0086398D">
        <w:rPr>
          <w:rFonts w:ascii="Arial" w:eastAsia="Times New Roman" w:hAnsi="Arial"/>
          <w:sz w:val="18"/>
          <w:szCs w:val="20"/>
          <w:lang w:val="en-US"/>
        </w:rPr>
        <w:t>,</w:t>
      </w:r>
      <w:r w:rsidRPr="001F79AA">
        <w:rPr>
          <w:rFonts w:ascii="Arial" w:eastAsia="Times New Roman" w:hAnsi="Arial"/>
          <w:sz w:val="18"/>
          <w:szCs w:val="20"/>
          <w:lang w:val="en-US"/>
        </w:rPr>
        <w:t xml:space="preserve"> </w:t>
      </w:r>
      <w:r w:rsidRPr="005B1227">
        <w:rPr>
          <w:rFonts w:ascii="Arial" w:eastAsia="Times New Roman" w:hAnsi="Arial"/>
          <w:sz w:val="18"/>
          <w:szCs w:val="20"/>
          <w:lang w:val="en-GB"/>
        </w:rPr>
        <w:t>Vulnerability scenario characterization in an industrial context using a NaTech indicator and a territorial multi-risk approach, in: Proceeding of the 33rd European Safety and Reliability Conference (ESREL 2023), 3rd September – 7th September, Southampton, UK, pp</w:t>
      </w:r>
      <w:r w:rsidR="0086398D">
        <w:rPr>
          <w:rFonts w:ascii="Arial" w:eastAsia="Times New Roman" w:hAnsi="Arial"/>
          <w:sz w:val="18"/>
          <w:szCs w:val="20"/>
          <w:lang w:val="en-GB"/>
        </w:rPr>
        <w:t>,</w:t>
      </w:r>
      <w:r w:rsidRPr="005B1227">
        <w:rPr>
          <w:rFonts w:ascii="Arial" w:eastAsia="Times New Roman" w:hAnsi="Arial"/>
          <w:sz w:val="18"/>
          <w:szCs w:val="20"/>
          <w:lang w:val="en-GB"/>
        </w:rPr>
        <w:t xml:space="preserve"> 2181–2188</w:t>
      </w:r>
      <w:r w:rsidR="0086398D">
        <w:rPr>
          <w:rFonts w:ascii="Arial" w:eastAsia="Times New Roman" w:hAnsi="Arial"/>
          <w:sz w:val="18"/>
          <w:szCs w:val="20"/>
          <w:lang w:val="en-GB"/>
        </w:rPr>
        <w:t>,</w:t>
      </w:r>
      <w:r w:rsidRPr="005B1227">
        <w:rPr>
          <w:rFonts w:ascii="Arial" w:eastAsia="Times New Roman" w:hAnsi="Arial"/>
          <w:sz w:val="18"/>
          <w:szCs w:val="20"/>
          <w:lang w:val="en-GB"/>
        </w:rPr>
        <w:t xml:space="preserve"> </w:t>
      </w:r>
      <w:r w:rsidR="0086398D">
        <w:rPr>
          <w:rFonts w:ascii="Arial" w:eastAsia="Times New Roman" w:hAnsi="Arial"/>
          <w:sz w:val="18"/>
          <w:szCs w:val="20"/>
          <w:lang w:val="en-GB"/>
        </w:rPr>
        <w:t>&lt;</w:t>
      </w:r>
      <w:r w:rsidR="0067090B" w:rsidRPr="005B1227">
        <w:rPr>
          <w:rFonts w:ascii="Arial" w:eastAsia="Times New Roman" w:hAnsi="Arial"/>
          <w:sz w:val="18"/>
          <w:szCs w:val="20"/>
          <w:lang w:val="en-GB"/>
        </w:rPr>
        <w:t>10.3850/978-981-18-8071-1_P187-cd</w:t>
      </w:r>
      <w:r w:rsidR="0086398D">
        <w:rPr>
          <w:rFonts w:ascii="Arial" w:eastAsia="Times New Roman" w:hAnsi="Arial"/>
          <w:sz w:val="18"/>
          <w:szCs w:val="20"/>
          <w:lang w:val="en-GB"/>
        </w:rPr>
        <w:t>&gt;</w:t>
      </w:r>
    </w:p>
    <w:p w14:paraId="12C54E37" w14:textId="2A7A518E" w:rsidR="00765F5A" w:rsidRPr="00136E3F" w:rsidRDefault="00765F5A" w:rsidP="007833DB">
      <w:pPr>
        <w:pStyle w:val="Bibliografia"/>
        <w:rPr>
          <w:rFonts w:cs="Arial"/>
          <w:lang w:val="it-IT"/>
        </w:rPr>
      </w:pPr>
      <w:r w:rsidRPr="00765F5A">
        <w:rPr>
          <w:rFonts w:cs="Arial"/>
        </w:rPr>
        <w:t xml:space="preserve">Castro Rodriguez, D.J., 2024. Modelling Industrial Vulnerabilities within a Multi-hazard Framework for the Resilience of the Territories. </w:t>
      </w:r>
      <w:r w:rsidRPr="00136E3F">
        <w:rPr>
          <w:rFonts w:cs="Arial"/>
          <w:lang w:val="it-IT"/>
        </w:rPr>
        <w:t xml:space="preserve">PhD Thesis, Politecnico di Torino, Turin, Italy. URL: </w:t>
      </w:r>
      <w:r w:rsidR="00EE566D" w:rsidRPr="00136E3F">
        <w:rPr>
          <w:rFonts w:cs="Arial"/>
          <w:lang w:val="it-IT"/>
        </w:rPr>
        <w:t>&lt;</w:t>
      </w:r>
      <w:r w:rsidRPr="00136E3F">
        <w:rPr>
          <w:lang w:val="it-IT"/>
        </w:rPr>
        <w:t>iris.polito.it/handle/11583/2994414</w:t>
      </w:r>
      <w:r w:rsidR="00EE566D" w:rsidRPr="00136E3F">
        <w:rPr>
          <w:rFonts w:cs="Arial"/>
          <w:lang w:val="it-IT"/>
        </w:rPr>
        <w:t>&gt;</w:t>
      </w:r>
    </w:p>
    <w:p w14:paraId="0D879BB0" w14:textId="4F553454" w:rsidR="007833DB" w:rsidRPr="005B1227" w:rsidRDefault="007833DB" w:rsidP="007833DB">
      <w:pPr>
        <w:pStyle w:val="Bibliografia"/>
        <w:rPr>
          <w:rFonts w:cs="Arial"/>
          <w:lang w:val="en-US"/>
        </w:rPr>
      </w:pPr>
      <w:r w:rsidRPr="005B1227">
        <w:rPr>
          <w:rFonts w:cs="Arial"/>
        </w:rPr>
        <w:t>Jain, P., Pasman, H.J., Waldram, S.P., Rogers, W.J., Mannan, M.S., 2017</w:t>
      </w:r>
      <w:r w:rsidR="0086398D">
        <w:rPr>
          <w:rFonts w:cs="Arial"/>
        </w:rPr>
        <w:t xml:space="preserve">, </w:t>
      </w:r>
      <w:r w:rsidRPr="005B1227">
        <w:rPr>
          <w:rFonts w:cs="Arial"/>
        </w:rPr>
        <w:t>Did we learn about risk control since Seveso? Yes, we surely did, but is it enough? An historical brief and problem analysis</w:t>
      </w:r>
      <w:r w:rsidR="0086398D">
        <w:rPr>
          <w:rFonts w:cs="Arial"/>
        </w:rPr>
        <w:t>,</w:t>
      </w:r>
      <w:r w:rsidRPr="005B1227">
        <w:rPr>
          <w:rFonts w:cs="Arial"/>
        </w:rPr>
        <w:t xml:space="preserve"> Journal of Loss Prevention in the Process Industries 49, Part A, 5–17. </w:t>
      </w:r>
      <w:r w:rsidR="0086398D">
        <w:rPr>
          <w:rFonts w:cs="Arial"/>
          <w:lang w:val="en-US"/>
        </w:rPr>
        <w:t>&lt;</w:t>
      </w:r>
      <w:r w:rsidR="001230D4" w:rsidRPr="005B1227">
        <w:rPr>
          <w:rFonts w:cs="Arial"/>
          <w:lang w:val="en-US"/>
        </w:rPr>
        <w:t>10.1016/j.jlp.2016.09.023</w:t>
      </w:r>
      <w:r w:rsidR="0086398D">
        <w:rPr>
          <w:rFonts w:cs="Arial"/>
          <w:lang w:val="en-US"/>
        </w:rPr>
        <w:t>&gt;</w:t>
      </w:r>
    </w:p>
    <w:p w14:paraId="1F0BBC10" w14:textId="7E9B1DDE" w:rsidR="00EE566D" w:rsidRDefault="00EE566D" w:rsidP="007833DB">
      <w:pPr>
        <w:pStyle w:val="Bibliografia"/>
        <w:rPr>
          <w:rFonts w:cs="Arial"/>
          <w:lang w:val="en-US"/>
        </w:rPr>
      </w:pPr>
      <w:r w:rsidRPr="00EE566D">
        <w:rPr>
          <w:rFonts w:cs="Arial"/>
          <w:lang w:val="en-US"/>
        </w:rPr>
        <w:t>Pilone, E., Demichela, M., Camuncoli, G., 2021</w:t>
      </w:r>
      <w:r w:rsidRPr="00136E3F">
        <w:rPr>
          <w:rFonts w:cs="Arial"/>
          <w:lang w:val="en-US"/>
        </w:rPr>
        <w:t>,</w:t>
      </w:r>
      <w:r w:rsidRPr="00EE566D">
        <w:rPr>
          <w:rFonts w:cs="Arial"/>
          <w:lang w:val="en-US"/>
        </w:rPr>
        <w:t xml:space="preserve"> A NaTech vulnerability indicator for local planners, in: Proceedings of the 31st European Safety and Reliability Conference (ESREL 2021), (B. Castanier, M. Cepin, D. Bigaud, and C. Berenguer, Eds.)</w:t>
      </w:r>
      <w:r>
        <w:rPr>
          <w:rFonts w:cs="Arial"/>
          <w:lang w:val="en-US"/>
        </w:rPr>
        <w:t>,</w:t>
      </w:r>
      <w:r w:rsidRPr="00EE566D">
        <w:rPr>
          <w:rFonts w:cs="Arial"/>
          <w:lang w:val="en-US"/>
        </w:rPr>
        <w:t xml:space="preserve"> Research Publishing, Singapore, pp. 184–191. </w:t>
      </w:r>
      <w:r>
        <w:rPr>
          <w:rFonts w:cs="Arial"/>
          <w:lang w:val="en-US"/>
        </w:rPr>
        <w:t>&lt;</w:t>
      </w:r>
      <w:r w:rsidRPr="00EE566D">
        <w:rPr>
          <w:rFonts w:cs="Arial"/>
          <w:lang w:val="en-US"/>
        </w:rPr>
        <w:t>10.3850/978-981-18-2016-8 361-cd</w:t>
      </w:r>
      <w:r>
        <w:rPr>
          <w:rFonts w:cs="Arial"/>
          <w:lang w:val="en-US"/>
        </w:rPr>
        <w:t>&gt;</w:t>
      </w:r>
    </w:p>
    <w:p w14:paraId="0160E604" w14:textId="7EC32267" w:rsidR="00F927C0" w:rsidRPr="00F927C0" w:rsidRDefault="001230D4" w:rsidP="007833DB">
      <w:pPr>
        <w:pStyle w:val="Bibliografia"/>
        <w:rPr>
          <w:rFonts w:cs="Arial"/>
        </w:rPr>
      </w:pPr>
      <w:r w:rsidRPr="0086398D">
        <w:rPr>
          <w:rFonts w:cs="Arial"/>
          <w:lang w:val="en-US"/>
        </w:rPr>
        <w:t>Pilone, E., Demichela, M., Camuncoli, G., 2022</w:t>
      </w:r>
      <w:r w:rsidR="0086398D" w:rsidRPr="0086398D">
        <w:rPr>
          <w:rFonts w:cs="Arial"/>
          <w:lang w:val="en-US"/>
        </w:rPr>
        <w:t>,</w:t>
      </w:r>
      <w:r w:rsidRPr="0086398D">
        <w:rPr>
          <w:rFonts w:cs="Arial"/>
          <w:lang w:val="en-US"/>
        </w:rPr>
        <w:t xml:space="preserve"> </w:t>
      </w:r>
      <w:r w:rsidRPr="00F927C0">
        <w:rPr>
          <w:rFonts w:cs="Arial"/>
        </w:rPr>
        <w:t>Na-Tech Risk: A new challenge for local planners</w:t>
      </w:r>
      <w:r w:rsidR="0086398D">
        <w:rPr>
          <w:rFonts w:cs="Arial"/>
        </w:rPr>
        <w:t>,</w:t>
      </w:r>
      <w:r w:rsidRPr="00F927C0">
        <w:rPr>
          <w:rFonts w:cs="Arial"/>
        </w:rPr>
        <w:t xml:space="preserve"> Chemical Engineering Transactions 90, 223–228</w:t>
      </w:r>
      <w:r w:rsidR="0086398D">
        <w:rPr>
          <w:rFonts w:cs="Arial"/>
        </w:rPr>
        <w:t>&lt;</w:t>
      </w:r>
      <w:r w:rsidR="00F927C0" w:rsidRPr="00F52A2D">
        <w:rPr>
          <w:rFonts w:cs="Arial"/>
        </w:rPr>
        <w:t>10.3303/CET2290038</w:t>
      </w:r>
      <w:r w:rsidR="0086398D">
        <w:rPr>
          <w:rFonts w:cs="Arial"/>
        </w:rPr>
        <w:t>&gt;</w:t>
      </w:r>
    </w:p>
    <w:p w14:paraId="19C4FC68" w14:textId="2B19DB68" w:rsidR="004628D2" w:rsidRDefault="000A7C29" w:rsidP="00F52A2D">
      <w:pPr>
        <w:pStyle w:val="Bibliografia"/>
      </w:pPr>
      <w:r w:rsidRPr="007D5E79">
        <w:rPr>
          <w:rFonts w:cs="Arial"/>
          <w:lang w:val="en-US"/>
        </w:rPr>
        <w:t xml:space="preserve">United Nations (Ed.), 2023. Globally harmonized system of classification and labelling of chemicals (GHS), ST/SG/AC.10/30/Rev.10, Tenth revised edition. </w:t>
      </w:r>
      <w:r w:rsidRPr="00F52A2D">
        <w:rPr>
          <w:rFonts w:cs="Arial"/>
          <w:lang w:val="it-IT"/>
        </w:rPr>
        <w:t>United Nations, New York and Geneva.</w:t>
      </w:r>
    </w:p>
    <w:sectPr w:rsidR="004628D2"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423A" w14:textId="77777777" w:rsidR="003E1F1A" w:rsidRDefault="003E1F1A" w:rsidP="004F5E36">
      <w:r>
        <w:separator/>
      </w:r>
    </w:p>
  </w:endnote>
  <w:endnote w:type="continuationSeparator" w:id="0">
    <w:p w14:paraId="0F7F69E9" w14:textId="77777777" w:rsidR="003E1F1A" w:rsidRDefault="003E1F1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8256" w14:textId="77777777" w:rsidR="003E1F1A" w:rsidRDefault="003E1F1A" w:rsidP="004F5E36">
      <w:r>
        <w:separator/>
      </w:r>
    </w:p>
  </w:footnote>
  <w:footnote w:type="continuationSeparator" w:id="0">
    <w:p w14:paraId="13EE744D" w14:textId="77777777" w:rsidR="003E1F1A" w:rsidRDefault="003E1F1A"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AF0F0B"/>
    <w:multiLevelType w:val="multilevel"/>
    <w:tmpl w:val="8396AF9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438217E"/>
    <w:multiLevelType w:val="multilevel"/>
    <w:tmpl w:val="15C8153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2"/>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4"/>
  </w:num>
  <w:num w:numId="14" w16cid:durableId="145903400">
    <w:abstractNumId w:val="20"/>
  </w:num>
  <w:num w:numId="15" w16cid:durableId="19162326">
    <w:abstractNumId w:val="22"/>
  </w:num>
  <w:num w:numId="16" w16cid:durableId="1977102699">
    <w:abstractNumId w:val="21"/>
  </w:num>
  <w:num w:numId="17" w16cid:durableId="860774865">
    <w:abstractNumId w:val="13"/>
  </w:num>
  <w:num w:numId="18" w16cid:durableId="313221457">
    <w:abstractNumId w:val="14"/>
    <w:lvlOverride w:ilvl="0">
      <w:startOverride w:val="1"/>
    </w:lvlOverride>
  </w:num>
  <w:num w:numId="19" w16cid:durableId="534971577">
    <w:abstractNumId w:val="18"/>
  </w:num>
  <w:num w:numId="20" w16cid:durableId="1150947773">
    <w:abstractNumId w:val="17"/>
  </w:num>
  <w:num w:numId="21" w16cid:durableId="124660497">
    <w:abstractNumId w:val="16"/>
  </w:num>
  <w:num w:numId="22" w16cid:durableId="2099861471">
    <w:abstractNumId w:val="15"/>
  </w:num>
  <w:num w:numId="23" w16cid:durableId="84351335">
    <w:abstractNumId w:val="10"/>
  </w:num>
  <w:num w:numId="24" w16cid:durableId="649484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MqwFAHLguIctAAAA"/>
  </w:docVars>
  <w:rsids>
    <w:rsidRoot w:val="000E414A"/>
    <w:rsid w:val="000027C0"/>
    <w:rsid w:val="00002A8E"/>
    <w:rsid w:val="000047E3"/>
    <w:rsid w:val="000052FB"/>
    <w:rsid w:val="00005A19"/>
    <w:rsid w:val="000117CB"/>
    <w:rsid w:val="00013928"/>
    <w:rsid w:val="00016197"/>
    <w:rsid w:val="00020965"/>
    <w:rsid w:val="00021A07"/>
    <w:rsid w:val="00024946"/>
    <w:rsid w:val="000272F0"/>
    <w:rsid w:val="0003148D"/>
    <w:rsid w:val="00031EEC"/>
    <w:rsid w:val="00032E3F"/>
    <w:rsid w:val="0003369F"/>
    <w:rsid w:val="00037974"/>
    <w:rsid w:val="000406F0"/>
    <w:rsid w:val="000419FD"/>
    <w:rsid w:val="000442A8"/>
    <w:rsid w:val="00045E76"/>
    <w:rsid w:val="0005008B"/>
    <w:rsid w:val="000506C5"/>
    <w:rsid w:val="00050ABA"/>
    <w:rsid w:val="00051566"/>
    <w:rsid w:val="000537ED"/>
    <w:rsid w:val="000562A9"/>
    <w:rsid w:val="00060510"/>
    <w:rsid w:val="0006106D"/>
    <w:rsid w:val="00062A9A"/>
    <w:rsid w:val="00065058"/>
    <w:rsid w:val="000667E0"/>
    <w:rsid w:val="000731AD"/>
    <w:rsid w:val="000747B4"/>
    <w:rsid w:val="00076DFD"/>
    <w:rsid w:val="00080406"/>
    <w:rsid w:val="000808A3"/>
    <w:rsid w:val="00083EC1"/>
    <w:rsid w:val="00086C39"/>
    <w:rsid w:val="00090964"/>
    <w:rsid w:val="00091FFA"/>
    <w:rsid w:val="00092EDD"/>
    <w:rsid w:val="000A03B2"/>
    <w:rsid w:val="000A36D2"/>
    <w:rsid w:val="000A4287"/>
    <w:rsid w:val="000A6828"/>
    <w:rsid w:val="000A7C29"/>
    <w:rsid w:val="000B7F1B"/>
    <w:rsid w:val="000C2576"/>
    <w:rsid w:val="000C5DA1"/>
    <w:rsid w:val="000C6A45"/>
    <w:rsid w:val="000D0268"/>
    <w:rsid w:val="000D1CA8"/>
    <w:rsid w:val="000D2589"/>
    <w:rsid w:val="000D34BE"/>
    <w:rsid w:val="000D3FFA"/>
    <w:rsid w:val="000D5F23"/>
    <w:rsid w:val="000D6F99"/>
    <w:rsid w:val="000E088C"/>
    <w:rsid w:val="000E0B3C"/>
    <w:rsid w:val="000E102F"/>
    <w:rsid w:val="000E12EE"/>
    <w:rsid w:val="000E2528"/>
    <w:rsid w:val="000E36F1"/>
    <w:rsid w:val="000E3A73"/>
    <w:rsid w:val="000E414A"/>
    <w:rsid w:val="000E75FD"/>
    <w:rsid w:val="000F093C"/>
    <w:rsid w:val="000F2A1C"/>
    <w:rsid w:val="000F5E96"/>
    <w:rsid w:val="000F787B"/>
    <w:rsid w:val="0010321A"/>
    <w:rsid w:val="0010348E"/>
    <w:rsid w:val="001138D3"/>
    <w:rsid w:val="0011457F"/>
    <w:rsid w:val="00115844"/>
    <w:rsid w:val="0011671A"/>
    <w:rsid w:val="0012091F"/>
    <w:rsid w:val="00120A46"/>
    <w:rsid w:val="001230D4"/>
    <w:rsid w:val="00123918"/>
    <w:rsid w:val="00126BC2"/>
    <w:rsid w:val="001308B6"/>
    <w:rsid w:val="0013121F"/>
    <w:rsid w:val="00131FE6"/>
    <w:rsid w:val="0013263F"/>
    <w:rsid w:val="001331DF"/>
    <w:rsid w:val="00134DE4"/>
    <w:rsid w:val="00136E3F"/>
    <w:rsid w:val="0014034D"/>
    <w:rsid w:val="00140FE3"/>
    <w:rsid w:val="0014420D"/>
    <w:rsid w:val="00144D16"/>
    <w:rsid w:val="00147F0E"/>
    <w:rsid w:val="00150C09"/>
    <w:rsid w:val="00150D98"/>
    <w:rsid w:val="00150E59"/>
    <w:rsid w:val="00152DE3"/>
    <w:rsid w:val="001604DC"/>
    <w:rsid w:val="00164CF9"/>
    <w:rsid w:val="001667A6"/>
    <w:rsid w:val="00172022"/>
    <w:rsid w:val="0017226F"/>
    <w:rsid w:val="00175870"/>
    <w:rsid w:val="00177CB4"/>
    <w:rsid w:val="0018127D"/>
    <w:rsid w:val="0018171E"/>
    <w:rsid w:val="00183743"/>
    <w:rsid w:val="001846DA"/>
    <w:rsid w:val="00184AD6"/>
    <w:rsid w:val="00185334"/>
    <w:rsid w:val="00187310"/>
    <w:rsid w:val="0019225F"/>
    <w:rsid w:val="00193896"/>
    <w:rsid w:val="00195D94"/>
    <w:rsid w:val="001A0FD5"/>
    <w:rsid w:val="001A23C7"/>
    <w:rsid w:val="001A435F"/>
    <w:rsid w:val="001A4AF7"/>
    <w:rsid w:val="001A5465"/>
    <w:rsid w:val="001A7116"/>
    <w:rsid w:val="001A74CC"/>
    <w:rsid w:val="001B0349"/>
    <w:rsid w:val="001B1E93"/>
    <w:rsid w:val="001B206F"/>
    <w:rsid w:val="001B4566"/>
    <w:rsid w:val="001B65C1"/>
    <w:rsid w:val="001C0AC0"/>
    <w:rsid w:val="001C1887"/>
    <w:rsid w:val="001C260F"/>
    <w:rsid w:val="001C4CE7"/>
    <w:rsid w:val="001C5C3A"/>
    <w:rsid w:val="001C684B"/>
    <w:rsid w:val="001D0CFB"/>
    <w:rsid w:val="001D0EC8"/>
    <w:rsid w:val="001D21AF"/>
    <w:rsid w:val="001D2953"/>
    <w:rsid w:val="001D53FC"/>
    <w:rsid w:val="001D5785"/>
    <w:rsid w:val="001D5811"/>
    <w:rsid w:val="001D6926"/>
    <w:rsid w:val="001D7C0E"/>
    <w:rsid w:val="001D7D7C"/>
    <w:rsid w:val="001E4709"/>
    <w:rsid w:val="001F42A5"/>
    <w:rsid w:val="001F4D79"/>
    <w:rsid w:val="001F79AA"/>
    <w:rsid w:val="001F7B9D"/>
    <w:rsid w:val="002001F4"/>
    <w:rsid w:val="00201C93"/>
    <w:rsid w:val="00202FD6"/>
    <w:rsid w:val="00205388"/>
    <w:rsid w:val="00206A18"/>
    <w:rsid w:val="002075AC"/>
    <w:rsid w:val="00210826"/>
    <w:rsid w:val="00210859"/>
    <w:rsid w:val="0021089A"/>
    <w:rsid w:val="002120AD"/>
    <w:rsid w:val="002137F4"/>
    <w:rsid w:val="00215272"/>
    <w:rsid w:val="002207F6"/>
    <w:rsid w:val="002224B4"/>
    <w:rsid w:val="00224216"/>
    <w:rsid w:val="0023134A"/>
    <w:rsid w:val="00242045"/>
    <w:rsid w:val="00243669"/>
    <w:rsid w:val="002447EF"/>
    <w:rsid w:val="00251550"/>
    <w:rsid w:val="00253453"/>
    <w:rsid w:val="0025448D"/>
    <w:rsid w:val="00255CD3"/>
    <w:rsid w:val="0026234E"/>
    <w:rsid w:val="0026299F"/>
    <w:rsid w:val="00262E79"/>
    <w:rsid w:val="00263B05"/>
    <w:rsid w:val="00266BFC"/>
    <w:rsid w:val="002713BF"/>
    <w:rsid w:val="00271D99"/>
    <w:rsid w:val="0027221A"/>
    <w:rsid w:val="002729C6"/>
    <w:rsid w:val="00273219"/>
    <w:rsid w:val="00273517"/>
    <w:rsid w:val="002741A3"/>
    <w:rsid w:val="00275B61"/>
    <w:rsid w:val="00276750"/>
    <w:rsid w:val="00280FAF"/>
    <w:rsid w:val="00282656"/>
    <w:rsid w:val="00284019"/>
    <w:rsid w:val="002851C7"/>
    <w:rsid w:val="00285CFF"/>
    <w:rsid w:val="00292465"/>
    <w:rsid w:val="00292560"/>
    <w:rsid w:val="002930A2"/>
    <w:rsid w:val="00296B83"/>
    <w:rsid w:val="002A033E"/>
    <w:rsid w:val="002A1E90"/>
    <w:rsid w:val="002A6213"/>
    <w:rsid w:val="002A627F"/>
    <w:rsid w:val="002B08EA"/>
    <w:rsid w:val="002B172E"/>
    <w:rsid w:val="002B3B53"/>
    <w:rsid w:val="002B4015"/>
    <w:rsid w:val="002B53A8"/>
    <w:rsid w:val="002B6092"/>
    <w:rsid w:val="002B78CE"/>
    <w:rsid w:val="002C21C8"/>
    <w:rsid w:val="002C2FB6"/>
    <w:rsid w:val="002D49F7"/>
    <w:rsid w:val="002D5DFE"/>
    <w:rsid w:val="002D6987"/>
    <w:rsid w:val="002E1140"/>
    <w:rsid w:val="002E5712"/>
    <w:rsid w:val="002E5FA7"/>
    <w:rsid w:val="002F15CB"/>
    <w:rsid w:val="002F2DE7"/>
    <w:rsid w:val="002F3309"/>
    <w:rsid w:val="003008CE"/>
    <w:rsid w:val="003009B7"/>
    <w:rsid w:val="00300E56"/>
    <w:rsid w:val="0030152C"/>
    <w:rsid w:val="0030469C"/>
    <w:rsid w:val="00304971"/>
    <w:rsid w:val="00306150"/>
    <w:rsid w:val="00312968"/>
    <w:rsid w:val="00314199"/>
    <w:rsid w:val="00316A2D"/>
    <w:rsid w:val="00317F09"/>
    <w:rsid w:val="0032100F"/>
    <w:rsid w:val="00321CA6"/>
    <w:rsid w:val="00323763"/>
    <w:rsid w:val="00323C5F"/>
    <w:rsid w:val="00326FFD"/>
    <w:rsid w:val="0032723C"/>
    <w:rsid w:val="00332076"/>
    <w:rsid w:val="00334C09"/>
    <w:rsid w:val="0034492A"/>
    <w:rsid w:val="00347FEC"/>
    <w:rsid w:val="00350F3B"/>
    <w:rsid w:val="003519A2"/>
    <w:rsid w:val="00353085"/>
    <w:rsid w:val="00353837"/>
    <w:rsid w:val="00360DB5"/>
    <w:rsid w:val="00361D0C"/>
    <w:rsid w:val="00366DA8"/>
    <w:rsid w:val="00371216"/>
    <w:rsid w:val="003723D4"/>
    <w:rsid w:val="003739BA"/>
    <w:rsid w:val="003769A1"/>
    <w:rsid w:val="00376A1E"/>
    <w:rsid w:val="0038167A"/>
    <w:rsid w:val="00381905"/>
    <w:rsid w:val="00382500"/>
    <w:rsid w:val="003840A7"/>
    <w:rsid w:val="00384CC8"/>
    <w:rsid w:val="0038603F"/>
    <w:rsid w:val="003871FD"/>
    <w:rsid w:val="00391259"/>
    <w:rsid w:val="003A1E30"/>
    <w:rsid w:val="003A2829"/>
    <w:rsid w:val="003A7D1C"/>
    <w:rsid w:val="003B166A"/>
    <w:rsid w:val="003B1B32"/>
    <w:rsid w:val="003B2759"/>
    <w:rsid w:val="003B2DB3"/>
    <w:rsid w:val="003B304B"/>
    <w:rsid w:val="003B3146"/>
    <w:rsid w:val="003B49CD"/>
    <w:rsid w:val="003B6D7D"/>
    <w:rsid w:val="003D0561"/>
    <w:rsid w:val="003D1E02"/>
    <w:rsid w:val="003E07DC"/>
    <w:rsid w:val="003E0D16"/>
    <w:rsid w:val="003E1F1A"/>
    <w:rsid w:val="003E3011"/>
    <w:rsid w:val="003E4C19"/>
    <w:rsid w:val="003E52D8"/>
    <w:rsid w:val="003E5449"/>
    <w:rsid w:val="003E5811"/>
    <w:rsid w:val="003F015E"/>
    <w:rsid w:val="003F248B"/>
    <w:rsid w:val="003F7550"/>
    <w:rsid w:val="00400414"/>
    <w:rsid w:val="00401F5F"/>
    <w:rsid w:val="00404630"/>
    <w:rsid w:val="004104B7"/>
    <w:rsid w:val="00410BE4"/>
    <w:rsid w:val="004110D4"/>
    <w:rsid w:val="00413B64"/>
    <w:rsid w:val="0041446B"/>
    <w:rsid w:val="00416BA8"/>
    <w:rsid w:val="004220F6"/>
    <w:rsid w:val="00425B89"/>
    <w:rsid w:val="0043203C"/>
    <w:rsid w:val="00432058"/>
    <w:rsid w:val="00432829"/>
    <w:rsid w:val="004368E6"/>
    <w:rsid w:val="0044071E"/>
    <w:rsid w:val="00441BD3"/>
    <w:rsid w:val="00441F39"/>
    <w:rsid w:val="0044329C"/>
    <w:rsid w:val="0044691F"/>
    <w:rsid w:val="004521AA"/>
    <w:rsid w:val="00453E24"/>
    <w:rsid w:val="00455FFA"/>
    <w:rsid w:val="0045634A"/>
    <w:rsid w:val="004568B7"/>
    <w:rsid w:val="00457456"/>
    <w:rsid w:val="004577FE"/>
    <w:rsid w:val="00457B9C"/>
    <w:rsid w:val="004601DF"/>
    <w:rsid w:val="0046164A"/>
    <w:rsid w:val="004628D2"/>
    <w:rsid w:val="00462DCD"/>
    <w:rsid w:val="00464027"/>
    <w:rsid w:val="004648AD"/>
    <w:rsid w:val="00465012"/>
    <w:rsid w:val="004703A9"/>
    <w:rsid w:val="004717FD"/>
    <w:rsid w:val="00473B51"/>
    <w:rsid w:val="00474048"/>
    <w:rsid w:val="004743FB"/>
    <w:rsid w:val="00474435"/>
    <w:rsid w:val="004760DE"/>
    <w:rsid w:val="004763D7"/>
    <w:rsid w:val="004815CC"/>
    <w:rsid w:val="004822E9"/>
    <w:rsid w:val="004829CC"/>
    <w:rsid w:val="00482A01"/>
    <w:rsid w:val="004906E2"/>
    <w:rsid w:val="0049171B"/>
    <w:rsid w:val="00492716"/>
    <w:rsid w:val="0049354F"/>
    <w:rsid w:val="00494BE3"/>
    <w:rsid w:val="004A004E"/>
    <w:rsid w:val="004A24CF"/>
    <w:rsid w:val="004A342E"/>
    <w:rsid w:val="004A635B"/>
    <w:rsid w:val="004A6699"/>
    <w:rsid w:val="004A7731"/>
    <w:rsid w:val="004B2E16"/>
    <w:rsid w:val="004B5E25"/>
    <w:rsid w:val="004C31D0"/>
    <w:rsid w:val="004C3D1D"/>
    <w:rsid w:val="004C3D84"/>
    <w:rsid w:val="004C54F9"/>
    <w:rsid w:val="004C7913"/>
    <w:rsid w:val="004D0B4A"/>
    <w:rsid w:val="004D1550"/>
    <w:rsid w:val="004D3A1D"/>
    <w:rsid w:val="004E3080"/>
    <w:rsid w:val="004E4DD6"/>
    <w:rsid w:val="004E622A"/>
    <w:rsid w:val="004F0385"/>
    <w:rsid w:val="004F0C9D"/>
    <w:rsid w:val="004F1953"/>
    <w:rsid w:val="004F2BDB"/>
    <w:rsid w:val="004F310D"/>
    <w:rsid w:val="004F4D20"/>
    <w:rsid w:val="004F5E36"/>
    <w:rsid w:val="004F6D95"/>
    <w:rsid w:val="005035BB"/>
    <w:rsid w:val="00507434"/>
    <w:rsid w:val="00507B47"/>
    <w:rsid w:val="00507BEF"/>
    <w:rsid w:val="00507CC9"/>
    <w:rsid w:val="005119A5"/>
    <w:rsid w:val="00512A4E"/>
    <w:rsid w:val="0051583D"/>
    <w:rsid w:val="00526658"/>
    <w:rsid w:val="005278B7"/>
    <w:rsid w:val="00532016"/>
    <w:rsid w:val="00532CF1"/>
    <w:rsid w:val="005346C8"/>
    <w:rsid w:val="00534F41"/>
    <w:rsid w:val="005424FC"/>
    <w:rsid w:val="00543E7D"/>
    <w:rsid w:val="0054474A"/>
    <w:rsid w:val="00547A68"/>
    <w:rsid w:val="0055044A"/>
    <w:rsid w:val="005531C9"/>
    <w:rsid w:val="00554879"/>
    <w:rsid w:val="005666EE"/>
    <w:rsid w:val="00570C43"/>
    <w:rsid w:val="005737B8"/>
    <w:rsid w:val="0057439C"/>
    <w:rsid w:val="005774D0"/>
    <w:rsid w:val="00581D57"/>
    <w:rsid w:val="0058519F"/>
    <w:rsid w:val="00585796"/>
    <w:rsid w:val="00592274"/>
    <w:rsid w:val="005A2324"/>
    <w:rsid w:val="005A33A6"/>
    <w:rsid w:val="005A6BC5"/>
    <w:rsid w:val="005A6E12"/>
    <w:rsid w:val="005A6E1C"/>
    <w:rsid w:val="005B1227"/>
    <w:rsid w:val="005B1434"/>
    <w:rsid w:val="005B2110"/>
    <w:rsid w:val="005B350B"/>
    <w:rsid w:val="005B4F0B"/>
    <w:rsid w:val="005B61E6"/>
    <w:rsid w:val="005B66FE"/>
    <w:rsid w:val="005C322B"/>
    <w:rsid w:val="005C77E1"/>
    <w:rsid w:val="005D28D1"/>
    <w:rsid w:val="005D332E"/>
    <w:rsid w:val="005D5928"/>
    <w:rsid w:val="005D668A"/>
    <w:rsid w:val="005D6A2F"/>
    <w:rsid w:val="005D7261"/>
    <w:rsid w:val="005E0592"/>
    <w:rsid w:val="005E1A82"/>
    <w:rsid w:val="005E794C"/>
    <w:rsid w:val="005F0A28"/>
    <w:rsid w:val="005F0E5E"/>
    <w:rsid w:val="00600535"/>
    <w:rsid w:val="00603158"/>
    <w:rsid w:val="00603469"/>
    <w:rsid w:val="00603965"/>
    <w:rsid w:val="00603F28"/>
    <w:rsid w:val="0060657C"/>
    <w:rsid w:val="00610CD6"/>
    <w:rsid w:val="006130B3"/>
    <w:rsid w:val="00614113"/>
    <w:rsid w:val="006157B4"/>
    <w:rsid w:val="00620DEE"/>
    <w:rsid w:val="00621F92"/>
    <w:rsid w:val="0062280A"/>
    <w:rsid w:val="006231E1"/>
    <w:rsid w:val="00623258"/>
    <w:rsid w:val="00625005"/>
    <w:rsid w:val="00625639"/>
    <w:rsid w:val="006256B2"/>
    <w:rsid w:val="0062615E"/>
    <w:rsid w:val="00631B33"/>
    <w:rsid w:val="006333BA"/>
    <w:rsid w:val="00635E68"/>
    <w:rsid w:val="00636DF5"/>
    <w:rsid w:val="006408B0"/>
    <w:rsid w:val="0064184D"/>
    <w:rsid w:val="006422CC"/>
    <w:rsid w:val="0064260C"/>
    <w:rsid w:val="006477FB"/>
    <w:rsid w:val="00651D18"/>
    <w:rsid w:val="00653C81"/>
    <w:rsid w:val="00660E3E"/>
    <w:rsid w:val="00661985"/>
    <w:rsid w:val="00661F71"/>
    <w:rsid w:val="00662E74"/>
    <w:rsid w:val="0066532C"/>
    <w:rsid w:val="0067090B"/>
    <w:rsid w:val="006807D0"/>
    <w:rsid w:val="00680C23"/>
    <w:rsid w:val="006834F5"/>
    <w:rsid w:val="00683502"/>
    <w:rsid w:val="00683E23"/>
    <w:rsid w:val="0069090B"/>
    <w:rsid w:val="00691277"/>
    <w:rsid w:val="00693766"/>
    <w:rsid w:val="006A1CBD"/>
    <w:rsid w:val="006A3281"/>
    <w:rsid w:val="006A4F8B"/>
    <w:rsid w:val="006A6DE5"/>
    <w:rsid w:val="006B4888"/>
    <w:rsid w:val="006B5AAB"/>
    <w:rsid w:val="006B6175"/>
    <w:rsid w:val="006B6A57"/>
    <w:rsid w:val="006C2A43"/>
    <w:rsid w:val="006C2E45"/>
    <w:rsid w:val="006C359C"/>
    <w:rsid w:val="006C5579"/>
    <w:rsid w:val="006C7F41"/>
    <w:rsid w:val="006D6E8B"/>
    <w:rsid w:val="006D7209"/>
    <w:rsid w:val="006E08CA"/>
    <w:rsid w:val="006E210B"/>
    <w:rsid w:val="006E6145"/>
    <w:rsid w:val="006E737D"/>
    <w:rsid w:val="006E780B"/>
    <w:rsid w:val="00702966"/>
    <w:rsid w:val="007064AF"/>
    <w:rsid w:val="00707DD1"/>
    <w:rsid w:val="0071119E"/>
    <w:rsid w:val="00712158"/>
    <w:rsid w:val="00713973"/>
    <w:rsid w:val="00720A24"/>
    <w:rsid w:val="00721B2D"/>
    <w:rsid w:val="00722648"/>
    <w:rsid w:val="00725E0C"/>
    <w:rsid w:val="00725EB6"/>
    <w:rsid w:val="00726B90"/>
    <w:rsid w:val="00732386"/>
    <w:rsid w:val="00734CCE"/>
    <w:rsid w:val="0073514D"/>
    <w:rsid w:val="007359C1"/>
    <w:rsid w:val="007376BD"/>
    <w:rsid w:val="00737C23"/>
    <w:rsid w:val="00742CF1"/>
    <w:rsid w:val="007447F3"/>
    <w:rsid w:val="0074782C"/>
    <w:rsid w:val="00752032"/>
    <w:rsid w:val="0075499F"/>
    <w:rsid w:val="00761763"/>
    <w:rsid w:val="007620D2"/>
    <w:rsid w:val="00764C25"/>
    <w:rsid w:val="00765F5A"/>
    <w:rsid w:val="007661C8"/>
    <w:rsid w:val="007662C0"/>
    <w:rsid w:val="007705DE"/>
    <w:rsid w:val="0077098D"/>
    <w:rsid w:val="007756AA"/>
    <w:rsid w:val="00776FAF"/>
    <w:rsid w:val="00780D60"/>
    <w:rsid w:val="007833DB"/>
    <w:rsid w:val="00785BF9"/>
    <w:rsid w:val="00785C9B"/>
    <w:rsid w:val="007869A3"/>
    <w:rsid w:val="0078724D"/>
    <w:rsid w:val="0078730C"/>
    <w:rsid w:val="00790F86"/>
    <w:rsid w:val="007931FA"/>
    <w:rsid w:val="0079792D"/>
    <w:rsid w:val="007A08A3"/>
    <w:rsid w:val="007A4861"/>
    <w:rsid w:val="007A7BBA"/>
    <w:rsid w:val="007B0C50"/>
    <w:rsid w:val="007B48F9"/>
    <w:rsid w:val="007B530F"/>
    <w:rsid w:val="007B773B"/>
    <w:rsid w:val="007C144C"/>
    <w:rsid w:val="007C1A43"/>
    <w:rsid w:val="007C30D3"/>
    <w:rsid w:val="007C5F2E"/>
    <w:rsid w:val="007C7C8B"/>
    <w:rsid w:val="007D0951"/>
    <w:rsid w:val="007D1618"/>
    <w:rsid w:val="007D179C"/>
    <w:rsid w:val="007D5E79"/>
    <w:rsid w:val="007D610D"/>
    <w:rsid w:val="007E00E1"/>
    <w:rsid w:val="007E024F"/>
    <w:rsid w:val="007E28B3"/>
    <w:rsid w:val="007E28E6"/>
    <w:rsid w:val="007E4332"/>
    <w:rsid w:val="007E4B4C"/>
    <w:rsid w:val="007E4FE8"/>
    <w:rsid w:val="007E6945"/>
    <w:rsid w:val="007E7D8F"/>
    <w:rsid w:val="007F0A2F"/>
    <w:rsid w:val="007F3875"/>
    <w:rsid w:val="007F39A4"/>
    <w:rsid w:val="007F54E5"/>
    <w:rsid w:val="007F7178"/>
    <w:rsid w:val="0080013E"/>
    <w:rsid w:val="00801759"/>
    <w:rsid w:val="008027B9"/>
    <w:rsid w:val="008044D5"/>
    <w:rsid w:val="00811EA2"/>
    <w:rsid w:val="00811F57"/>
    <w:rsid w:val="00813288"/>
    <w:rsid w:val="008142C4"/>
    <w:rsid w:val="008168FC"/>
    <w:rsid w:val="00817A9B"/>
    <w:rsid w:val="00820287"/>
    <w:rsid w:val="00823348"/>
    <w:rsid w:val="00826807"/>
    <w:rsid w:val="00827AE5"/>
    <w:rsid w:val="00830996"/>
    <w:rsid w:val="008345F1"/>
    <w:rsid w:val="0083605E"/>
    <w:rsid w:val="00837E82"/>
    <w:rsid w:val="0084767C"/>
    <w:rsid w:val="008506A0"/>
    <w:rsid w:val="0086398D"/>
    <w:rsid w:val="00865B07"/>
    <w:rsid w:val="008667EA"/>
    <w:rsid w:val="00866C61"/>
    <w:rsid w:val="0087092A"/>
    <w:rsid w:val="008721A4"/>
    <w:rsid w:val="00874AC6"/>
    <w:rsid w:val="00874CC9"/>
    <w:rsid w:val="0087637F"/>
    <w:rsid w:val="00877BD8"/>
    <w:rsid w:val="00883D49"/>
    <w:rsid w:val="008862CF"/>
    <w:rsid w:val="0088715A"/>
    <w:rsid w:val="00887AB7"/>
    <w:rsid w:val="00892AD5"/>
    <w:rsid w:val="008956A0"/>
    <w:rsid w:val="008964C9"/>
    <w:rsid w:val="00896E29"/>
    <w:rsid w:val="00897DBB"/>
    <w:rsid w:val="008A1512"/>
    <w:rsid w:val="008A2273"/>
    <w:rsid w:val="008A3049"/>
    <w:rsid w:val="008A3855"/>
    <w:rsid w:val="008A6997"/>
    <w:rsid w:val="008B0037"/>
    <w:rsid w:val="008B146B"/>
    <w:rsid w:val="008B15DD"/>
    <w:rsid w:val="008B44FD"/>
    <w:rsid w:val="008B59C5"/>
    <w:rsid w:val="008B6E71"/>
    <w:rsid w:val="008C0AED"/>
    <w:rsid w:val="008C19B2"/>
    <w:rsid w:val="008C1DD6"/>
    <w:rsid w:val="008C29BF"/>
    <w:rsid w:val="008C4F2D"/>
    <w:rsid w:val="008C7252"/>
    <w:rsid w:val="008D11AE"/>
    <w:rsid w:val="008D2763"/>
    <w:rsid w:val="008D32B9"/>
    <w:rsid w:val="008D335C"/>
    <w:rsid w:val="008D433B"/>
    <w:rsid w:val="008D4A16"/>
    <w:rsid w:val="008D5AEA"/>
    <w:rsid w:val="008E5401"/>
    <w:rsid w:val="008E566E"/>
    <w:rsid w:val="008E61D2"/>
    <w:rsid w:val="008E6292"/>
    <w:rsid w:val="008F10A6"/>
    <w:rsid w:val="0090161A"/>
    <w:rsid w:val="00901EB6"/>
    <w:rsid w:val="00902A2F"/>
    <w:rsid w:val="009041F8"/>
    <w:rsid w:val="00904C62"/>
    <w:rsid w:val="00905E6B"/>
    <w:rsid w:val="0091129A"/>
    <w:rsid w:val="00916F1C"/>
    <w:rsid w:val="00917E43"/>
    <w:rsid w:val="00922BA8"/>
    <w:rsid w:val="0092496D"/>
    <w:rsid w:val="00924DAC"/>
    <w:rsid w:val="00927058"/>
    <w:rsid w:val="00930967"/>
    <w:rsid w:val="00930FA2"/>
    <w:rsid w:val="00932E8C"/>
    <w:rsid w:val="00935AE7"/>
    <w:rsid w:val="009372C5"/>
    <w:rsid w:val="00937869"/>
    <w:rsid w:val="00940557"/>
    <w:rsid w:val="009426C1"/>
    <w:rsid w:val="00942750"/>
    <w:rsid w:val="009450CE"/>
    <w:rsid w:val="009459BB"/>
    <w:rsid w:val="00945F25"/>
    <w:rsid w:val="00947179"/>
    <w:rsid w:val="0094792D"/>
    <w:rsid w:val="0095164B"/>
    <w:rsid w:val="00952C66"/>
    <w:rsid w:val="00954090"/>
    <w:rsid w:val="009573E7"/>
    <w:rsid w:val="0096354D"/>
    <w:rsid w:val="00963E05"/>
    <w:rsid w:val="00964A45"/>
    <w:rsid w:val="00966109"/>
    <w:rsid w:val="00967843"/>
    <w:rsid w:val="00967D54"/>
    <w:rsid w:val="00971028"/>
    <w:rsid w:val="00971277"/>
    <w:rsid w:val="0097425C"/>
    <w:rsid w:val="0097587E"/>
    <w:rsid w:val="00977337"/>
    <w:rsid w:val="00981FD1"/>
    <w:rsid w:val="009822EA"/>
    <w:rsid w:val="00984DAC"/>
    <w:rsid w:val="00992C8D"/>
    <w:rsid w:val="00993B84"/>
    <w:rsid w:val="00994C6A"/>
    <w:rsid w:val="00995950"/>
    <w:rsid w:val="00996483"/>
    <w:rsid w:val="00996958"/>
    <w:rsid w:val="00996F5A"/>
    <w:rsid w:val="009972F3"/>
    <w:rsid w:val="009A3B36"/>
    <w:rsid w:val="009B041A"/>
    <w:rsid w:val="009B3B8B"/>
    <w:rsid w:val="009B5DEC"/>
    <w:rsid w:val="009C37C3"/>
    <w:rsid w:val="009C4A51"/>
    <w:rsid w:val="009C5D20"/>
    <w:rsid w:val="009C68C8"/>
    <w:rsid w:val="009C7C86"/>
    <w:rsid w:val="009D10DC"/>
    <w:rsid w:val="009D2FF7"/>
    <w:rsid w:val="009E3299"/>
    <w:rsid w:val="009E37E7"/>
    <w:rsid w:val="009E76F8"/>
    <w:rsid w:val="009E7884"/>
    <w:rsid w:val="009E788A"/>
    <w:rsid w:val="009E7F58"/>
    <w:rsid w:val="009F0E08"/>
    <w:rsid w:val="009F337C"/>
    <w:rsid w:val="009F6386"/>
    <w:rsid w:val="00A02552"/>
    <w:rsid w:val="00A079AE"/>
    <w:rsid w:val="00A100DC"/>
    <w:rsid w:val="00A10BE4"/>
    <w:rsid w:val="00A11ABF"/>
    <w:rsid w:val="00A12DF9"/>
    <w:rsid w:val="00A14134"/>
    <w:rsid w:val="00A16BAF"/>
    <w:rsid w:val="00A1763D"/>
    <w:rsid w:val="00A17CEC"/>
    <w:rsid w:val="00A22E29"/>
    <w:rsid w:val="00A26738"/>
    <w:rsid w:val="00A27EF0"/>
    <w:rsid w:val="00A3124D"/>
    <w:rsid w:val="00A358A8"/>
    <w:rsid w:val="00A413FF"/>
    <w:rsid w:val="00A42361"/>
    <w:rsid w:val="00A45C7E"/>
    <w:rsid w:val="00A4627D"/>
    <w:rsid w:val="00A46EAC"/>
    <w:rsid w:val="00A5021D"/>
    <w:rsid w:val="00A50808"/>
    <w:rsid w:val="00A50B20"/>
    <w:rsid w:val="00A51390"/>
    <w:rsid w:val="00A51753"/>
    <w:rsid w:val="00A60D13"/>
    <w:rsid w:val="00A67252"/>
    <w:rsid w:val="00A70566"/>
    <w:rsid w:val="00A7223D"/>
    <w:rsid w:val="00A72427"/>
    <w:rsid w:val="00A72745"/>
    <w:rsid w:val="00A76EFC"/>
    <w:rsid w:val="00A7725A"/>
    <w:rsid w:val="00A82C0C"/>
    <w:rsid w:val="00A82C11"/>
    <w:rsid w:val="00A87D50"/>
    <w:rsid w:val="00A91010"/>
    <w:rsid w:val="00A924C9"/>
    <w:rsid w:val="00A92574"/>
    <w:rsid w:val="00A931D0"/>
    <w:rsid w:val="00A97F29"/>
    <w:rsid w:val="00AA6D15"/>
    <w:rsid w:val="00AA702E"/>
    <w:rsid w:val="00AA7D26"/>
    <w:rsid w:val="00AB0964"/>
    <w:rsid w:val="00AB3F7E"/>
    <w:rsid w:val="00AB5011"/>
    <w:rsid w:val="00AB6544"/>
    <w:rsid w:val="00AC0684"/>
    <w:rsid w:val="00AC2264"/>
    <w:rsid w:val="00AC22F3"/>
    <w:rsid w:val="00AC2773"/>
    <w:rsid w:val="00AC3CFD"/>
    <w:rsid w:val="00AC4483"/>
    <w:rsid w:val="00AC7368"/>
    <w:rsid w:val="00AD02EA"/>
    <w:rsid w:val="00AD16B9"/>
    <w:rsid w:val="00AD4006"/>
    <w:rsid w:val="00AD60E9"/>
    <w:rsid w:val="00AE07F8"/>
    <w:rsid w:val="00AE2568"/>
    <w:rsid w:val="00AE377D"/>
    <w:rsid w:val="00AE5324"/>
    <w:rsid w:val="00AE549A"/>
    <w:rsid w:val="00AE7B07"/>
    <w:rsid w:val="00AF02C3"/>
    <w:rsid w:val="00AF0EBA"/>
    <w:rsid w:val="00AF14A1"/>
    <w:rsid w:val="00AF2463"/>
    <w:rsid w:val="00AF36BC"/>
    <w:rsid w:val="00AF3FA9"/>
    <w:rsid w:val="00B003DC"/>
    <w:rsid w:val="00B02C8A"/>
    <w:rsid w:val="00B123D3"/>
    <w:rsid w:val="00B160A5"/>
    <w:rsid w:val="00B16801"/>
    <w:rsid w:val="00B17FBD"/>
    <w:rsid w:val="00B20C20"/>
    <w:rsid w:val="00B2117E"/>
    <w:rsid w:val="00B21872"/>
    <w:rsid w:val="00B30022"/>
    <w:rsid w:val="00B315A6"/>
    <w:rsid w:val="00B31813"/>
    <w:rsid w:val="00B3328D"/>
    <w:rsid w:val="00B33365"/>
    <w:rsid w:val="00B366FE"/>
    <w:rsid w:val="00B53BCF"/>
    <w:rsid w:val="00B553C9"/>
    <w:rsid w:val="00B55516"/>
    <w:rsid w:val="00B563A9"/>
    <w:rsid w:val="00B57099"/>
    <w:rsid w:val="00B577F9"/>
    <w:rsid w:val="00B57B36"/>
    <w:rsid w:val="00B57E6F"/>
    <w:rsid w:val="00B60B04"/>
    <w:rsid w:val="00B61494"/>
    <w:rsid w:val="00B6250E"/>
    <w:rsid w:val="00B62867"/>
    <w:rsid w:val="00B62C12"/>
    <w:rsid w:val="00B62E59"/>
    <w:rsid w:val="00B633DA"/>
    <w:rsid w:val="00B65337"/>
    <w:rsid w:val="00B75029"/>
    <w:rsid w:val="00B76141"/>
    <w:rsid w:val="00B76716"/>
    <w:rsid w:val="00B8118B"/>
    <w:rsid w:val="00B8686D"/>
    <w:rsid w:val="00B92950"/>
    <w:rsid w:val="00B93F69"/>
    <w:rsid w:val="00B952DF"/>
    <w:rsid w:val="00B973F2"/>
    <w:rsid w:val="00BA3B5B"/>
    <w:rsid w:val="00BA3BBC"/>
    <w:rsid w:val="00BA3E5A"/>
    <w:rsid w:val="00BA4F8F"/>
    <w:rsid w:val="00BA58A1"/>
    <w:rsid w:val="00BA5B3E"/>
    <w:rsid w:val="00BA7E8E"/>
    <w:rsid w:val="00BB0733"/>
    <w:rsid w:val="00BB1DDC"/>
    <w:rsid w:val="00BB7D42"/>
    <w:rsid w:val="00BB7F21"/>
    <w:rsid w:val="00BC0BD9"/>
    <w:rsid w:val="00BC30C9"/>
    <w:rsid w:val="00BC6A88"/>
    <w:rsid w:val="00BC7620"/>
    <w:rsid w:val="00BD077D"/>
    <w:rsid w:val="00BD304D"/>
    <w:rsid w:val="00BD3B65"/>
    <w:rsid w:val="00BD6009"/>
    <w:rsid w:val="00BD6782"/>
    <w:rsid w:val="00BD7754"/>
    <w:rsid w:val="00BE2F47"/>
    <w:rsid w:val="00BE3E58"/>
    <w:rsid w:val="00BE507C"/>
    <w:rsid w:val="00BE5394"/>
    <w:rsid w:val="00BF0103"/>
    <w:rsid w:val="00BF0D37"/>
    <w:rsid w:val="00BF13CE"/>
    <w:rsid w:val="00BF3FF0"/>
    <w:rsid w:val="00BF5313"/>
    <w:rsid w:val="00BF69A0"/>
    <w:rsid w:val="00C01616"/>
    <w:rsid w:val="00C0162B"/>
    <w:rsid w:val="00C04263"/>
    <w:rsid w:val="00C068ED"/>
    <w:rsid w:val="00C0764B"/>
    <w:rsid w:val="00C076B6"/>
    <w:rsid w:val="00C1348F"/>
    <w:rsid w:val="00C15137"/>
    <w:rsid w:val="00C151DD"/>
    <w:rsid w:val="00C2035B"/>
    <w:rsid w:val="00C22E0C"/>
    <w:rsid w:val="00C27D16"/>
    <w:rsid w:val="00C31826"/>
    <w:rsid w:val="00C34287"/>
    <w:rsid w:val="00C345B1"/>
    <w:rsid w:val="00C40142"/>
    <w:rsid w:val="00C434EC"/>
    <w:rsid w:val="00C43C9B"/>
    <w:rsid w:val="00C456BD"/>
    <w:rsid w:val="00C51EEF"/>
    <w:rsid w:val="00C5205A"/>
    <w:rsid w:val="00C52C3C"/>
    <w:rsid w:val="00C57182"/>
    <w:rsid w:val="00C57863"/>
    <w:rsid w:val="00C62D6E"/>
    <w:rsid w:val="00C640AF"/>
    <w:rsid w:val="00C6445A"/>
    <w:rsid w:val="00C64BD5"/>
    <w:rsid w:val="00C655FD"/>
    <w:rsid w:val="00C66C39"/>
    <w:rsid w:val="00C66FB8"/>
    <w:rsid w:val="00C70F2F"/>
    <w:rsid w:val="00C71B40"/>
    <w:rsid w:val="00C73B76"/>
    <w:rsid w:val="00C74201"/>
    <w:rsid w:val="00C74BC4"/>
    <w:rsid w:val="00C75407"/>
    <w:rsid w:val="00C8172F"/>
    <w:rsid w:val="00C81D4E"/>
    <w:rsid w:val="00C841C6"/>
    <w:rsid w:val="00C870A8"/>
    <w:rsid w:val="00C8788F"/>
    <w:rsid w:val="00C91161"/>
    <w:rsid w:val="00C93060"/>
    <w:rsid w:val="00C94434"/>
    <w:rsid w:val="00C96B68"/>
    <w:rsid w:val="00CA0A5B"/>
    <w:rsid w:val="00CA0D75"/>
    <w:rsid w:val="00CA1BE5"/>
    <w:rsid w:val="00CA1C95"/>
    <w:rsid w:val="00CA2BA6"/>
    <w:rsid w:val="00CA3A65"/>
    <w:rsid w:val="00CA5A9C"/>
    <w:rsid w:val="00CB1526"/>
    <w:rsid w:val="00CB41C7"/>
    <w:rsid w:val="00CB5483"/>
    <w:rsid w:val="00CB643A"/>
    <w:rsid w:val="00CC06FD"/>
    <w:rsid w:val="00CC45B0"/>
    <w:rsid w:val="00CC4C20"/>
    <w:rsid w:val="00CD0B59"/>
    <w:rsid w:val="00CD3517"/>
    <w:rsid w:val="00CD4BB3"/>
    <w:rsid w:val="00CD5FE2"/>
    <w:rsid w:val="00CE187B"/>
    <w:rsid w:val="00CE25A3"/>
    <w:rsid w:val="00CE3CCB"/>
    <w:rsid w:val="00CE6DD8"/>
    <w:rsid w:val="00CE7C68"/>
    <w:rsid w:val="00CF167B"/>
    <w:rsid w:val="00CF275F"/>
    <w:rsid w:val="00CF2E0C"/>
    <w:rsid w:val="00CF368A"/>
    <w:rsid w:val="00CF45B2"/>
    <w:rsid w:val="00CF66A7"/>
    <w:rsid w:val="00D02B4C"/>
    <w:rsid w:val="00D040C4"/>
    <w:rsid w:val="00D060B2"/>
    <w:rsid w:val="00D06747"/>
    <w:rsid w:val="00D109A4"/>
    <w:rsid w:val="00D119D5"/>
    <w:rsid w:val="00D12A9F"/>
    <w:rsid w:val="00D15CF6"/>
    <w:rsid w:val="00D1796F"/>
    <w:rsid w:val="00D20AD1"/>
    <w:rsid w:val="00D22E2E"/>
    <w:rsid w:val="00D2432E"/>
    <w:rsid w:val="00D256B4"/>
    <w:rsid w:val="00D2582C"/>
    <w:rsid w:val="00D2586A"/>
    <w:rsid w:val="00D31547"/>
    <w:rsid w:val="00D31658"/>
    <w:rsid w:val="00D36AE5"/>
    <w:rsid w:val="00D4418B"/>
    <w:rsid w:val="00D468CC"/>
    <w:rsid w:val="00D46B7E"/>
    <w:rsid w:val="00D5000F"/>
    <w:rsid w:val="00D503DB"/>
    <w:rsid w:val="00D5078B"/>
    <w:rsid w:val="00D5621D"/>
    <w:rsid w:val="00D56693"/>
    <w:rsid w:val="00D578CF"/>
    <w:rsid w:val="00D57C84"/>
    <w:rsid w:val="00D6057D"/>
    <w:rsid w:val="00D64FE8"/>
    <w:rsid w:val="00D70B1C"/>
    <w:rsid w:val="00D71640"/>
    <w:rsid w:val="00D76E19"/>
    <w:rsid w:val="00D77027"/>
    <w:rsid w:val="00D82362"/>
    <w:rsid w:val="00D836C5"/>
    <w:rsid w:val="00D84576"/>
    <w:rsid w:val="00D862E4"/>
    <w:rsid w:val="00D872B5"/>
    <w:rsid w:val="00D873A7"/>
    <w:rsid w:val="00D94F6B"/>
    <w:rsid w:val="00D94F98"/>
    <w:rsid w:val="00DA0C9E"/>
    <w:rsid w:val="00DA1399"/>
    <w:rsid w:val="00DA24C6"/>
    <w:rsid w:val="00DA4D74"/>
    <w:rsid w:val="00DA4D7B"/>
    <w:rsid w:val="00DB34EB"/>
    <w:rsid w:val="00DB62DF"/>
    <w:rsid w:val="00DB6715"/>
    <w:rsid w:val="00DB7B84"/>
    <w:rsid w:val="00DB7F45"/>
    <w:rsid w:val="00DC1303"/>
    <w:rsid w:val="00DC26F9"/>
    <w:rsid w:val="00DC2840"/>
    <w:rsid w:val="00DC6946"/>
    <w:rsid w:val="00DC73EE"/>
    <w:rsid w:val="00DD1252"/>
    <w:rsid w:val="00DD271C"/>
    <w:rsid w:val="00DE01F6"/>
    <w:rsid w:val="00DE11BC"/>
    <w:rsid w:val="00DE1F9E"/>
    <w:rsid w:val="00DE264A"/>
    <w:rsid w:val="00DE614D"/>
    <w:rsid w:val="00DE77FA"/>
    <w:rsid w:val="00DF5072"/>
    <w:rsid w:val="00DF5540"/>
    <w:rsid w:val="00E00E09"/>
    <w:rsid w:val="00E0167B"/>
    <w:rsid w:val="00E02D18"/>
    <w:rsid w:val="00E02F55"/>
    <w:rsid w:val="00E041E7"/>
    <w:rsid w:val="00E04E3D"/>
    <w:rsid w:val="00E11CA4"/>
    <w:rsid w:val="00E1244D"/>
    <w:rsid w:val="00E13573"/>
    <w:rsid w:val="00E13737"/>
    <w:rsid w:val="00E148C2"/>
    <w:rsid w:val="00E14FB6"/>
    <w:rsid w:val="00E156F9"/>
    <w:rsid w:val="00E15E1F"/>
    <w:rsid w:val="00E17CF7"/>
    <w:rsid w:val="00E20E87"/>
    <w:rsid w:val="00E237D8"/>
    <w:rsid w:val="00E23CA1"/>
    <w:rsid w:val="00E26CFC"/>
    <w:rsid w:val="00E274CC"/>
    <w:rsid w:val="00E27E3B"/>
    <w:rsid w:val="00E34B1F"/>
    <w:rsid w:val="00E35E40"/>
    <w:rsid w:val="00E36597"/>
    <w:rsid w:val="00E36BF8"/>
    <w:rsid w:val="00E36F9D"/>
    <w:rsid w:val="00E402DC"/>
    <w:rsid w:val="00E409A8"/>
    <w:rsid w:val="00E422B9"/>
    <w:rsid w:val="00E44D59"/>
    <w:rsid w:val="00E4534B"/>
    <w:rsid w:val="00E46A7D"/>
    <w:rsid w:val="00E508DA"/>
    <w:rsid w:val="00E50C12"/>
    <w:rsid w:val="00E51A91"/>
    <w:rsid w:val="00E60ABC"/>
    <w:rsid w:val="00E61194"/>
    <w:rsid w:val="00E65087"/>
    <w:rsid w:val="00E658ED"/>
    <w:rsid w:val="00E65B91"/>
    <w:rsid w:val="00E65CC0"/>
    <w:rsid w:val="00E66130"/>
    <w:rsid w:val="00E67095"/>
    <w:rsid w:val="00E712C0"/>
    <w:rsid w:val="00E7209D"/>
    <w:rsid w:val="00E72EAD"/>
    <w:rsid w:val="00E733A4"/>
    <w:rsid w:val="00E77223"/>
    <w:rsid w:val="00E7771D"/>
    <w:rsid w:val="00E81E4D"/>
    <w:rsid w:val="00E8528B"/>
    <w:rsid w:val="00E85B94"/>
    <w:rsid w:val="00E85C3D"/>
    <w:rsid w:val="00E95198"/>
    <w:rsid w:val="00E978D0"/>
    <w:rsid w:val="00EA3182"/>
    <w:rsid w:val="00EA4613"/>
    <w:rsid w:val="00EA7F91"/>
    <w:rsid w:val="00EB1523"/>
    <w:rsid w:val="00EB2699"/>
    <w:rsid w:val="00EB2CD1"/>
    <w:rsid w:val="00EB64EB"/>
    <w:rsid w:val="00EB72EF"/>
    <w:rsid w:val="00EB7585"/>
    <w:rsid w:val="00EC07EB"/>
    <w:rsid w:val="00EC09E7"/>
    <w:rsid w:val="00EC0E49"/>
    <w:rsid w:val="00EC101F"/>
    <w:rsid w:val="00EC1D9F"/>
    <w:rsid w:val="00EC2283"/>
    <w:rsid w:val="00EC29AD"/>
    <w:rsid w:val="00EC2FB7"/>
    <w:rsid w:val="00EC31B7"/>
    <w:rsid w:val="00EC663C"/>
    <w:rsid w:val="00ED2C41"/>
    <w:rsid w:val="00ED7478"/>
    <w:rsid w:val="00ED7920"/>
    <w:rsid w:val="00EE0131"/>
    <w:rsid w:val="00EE17B0"/>
    <w:rsid w:val="00EE4F66"/>
    <w:rsid w:val="00EE5610"/>
    <w:rsid w:val="00EE566D"/>
    <w:rsid w:val="00EE5AB1"/>
    <w:rsid w:val="00EE6232"/>
    <w:rsid w:val="00EF06D9"/>
    <w:rsid w:val="00EF390B"/>
    <w:rsid w:val="00EF7574"/>
    <w:rsid w:val="00F01245"/>
    <w:rsid w:val="00F02AD0"/>
    <w:rsid w:val="00F042DA"/>
    <w:rsid w:val="00F06721"/>
    <w:rsid w:val="00F13CE4"/>
    <w:rsid w:val="00F14AAC"/>
    <w:rsid w:val="00F156CF"/>
    <w:rsid w:val="00F15F8F"/>
    <w:rsid w:val="00F16611"/>
    <w:rsid w:val="00F1678D"/>
    <w:rsid w:val="00F2023F"/>
    <w:rsid w:val="00F23C58"/>
    <w:rsid w:val="00F26CC1"/>
    <w:rsid w:val="00F27EE4"/>
    <w:rsid w:val="00F3049E"/>
    <w:rsid w:val="00F30C64"/>
    <w:rsid w:val="00F31C2C"/>
    <w:rsid w:val="00F32BA2"/>
    <w:rsid w:val="00F32CDB"/>
    <w:rsid w:val="00F34386"/>
    <w:rsid w:val="00F41EE4"/>
    <w:rsid w:val="00F4508F"/>
    <w:rsid w:val="00F47681"/>
    <w:rsid w:val="00F52A2D"/>
    <w:rsid w:val="00F54F73"/>
    <w:rsid w:val="00F565FE"/>
    <w:rsid w:val="00F60149"/>
    <w:rsid w:val="00F60788"/>
    <w:rsid w:val="00F60B33"/>
    <w:rsid w:val="00F63A70"/>
    <w:rsid w:val="00F63CE0"/>
    <w:rsid w:val="00F63D8C"/>
    <w:rsid w:val="00F66C13"/>
    <w:rsid w:val="00F70328"/>
    <w:rsid w:val="00F71901"/>
    <w:rsid w:val="00F722A5"/>
    <w:rsid w:val="00F72D3F"/>
    <w:rsid w:val="00F73C15"/>
    <w:rsid w:val="00F74EFB"/>
    <w:rsid w:val="00F7534E"/>
    <w:rsid w:val="00F767C0"/>
    <w:rsid w:val="00F779F4"/>
    <w:rsid w:val="00F805CA"/>
    <w:rsid w:val="00F80CCB"/>
    <w:rsid w:val="00F812E8"/>
    <w:rsid w:val="00F83666"/>
    <w:rsid w:val="00F91D6F"/>
    <w:rsid w:val="00F927C0"/>
    <w:rsid w:val="00F93B43"/>
    <w:rsid w:val="00F93EDF"/>
    <w:rsid w:val="00F943A1"/>
    <w:rsid w:val="00F96271"/>
    <w:rsid w:val="00F96382"/>
    <w:rsid w:val="00FA0A6B"/>
    <w:rsid w:val="00FA0AAD"/>
    <w:rsid w:val="00FA0CCF"/>
    <w:rsid w:val="00FA14C3"/>
    <w:rsid w:val="00FA1802"/>
    <w:rsid w:val="00FA21D0"/>
    <w:rsid w:val="00FA5F5F"/>
    <w:rsid w:val="00FA76E3"/>
    <w:rsid w:val="00FB0B4D"/>
    <w:rsid w:val="00FB22FA"/>
    <w:rsid w:val="00FB3E32"/>
    <w:rsid w:val="00FB6F31"/>
    <w:rsid w:val="00FB730C"/>
    <w:rsid w:val="00FC1686"/>
    <w:rsid w:val="00FC2695"/>
    <w:rsid w:val="00FC2F34"/>
    <w:rsid w:val="00FC2F5E"/>
    <w:rsid w:val="00FC3E03"/>
    <w:rsid w:val="00FC3FC1"/>
    <w:rsid w:val="00FC51D6"/>
    <w:rsid w:val="00FC58B6"/>
    <w:rsid w:val="00FC5FCF"/>
    <w:rsid w:val="00FD0A4E"/>
    <w:rsid w:val="00FD1EE1"/>
    <w:rsid w:val="00FD3CC8"/>
    <w:rsid w:val="00FD46E6"/>
    <w:rsid w:val="00FE23E2"/>
    <w:rsid w:val="00FE5381"/>
    <w:rsid w:val="00FF475E"/>
    <w:rsid w:val="00FF5B8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0D6F99"/>
    <w:pPr>
      <w:keepNext/>
      <w:numPr>
        <w:ilvl w:val="2"/>
        <w:numId w:val="1"/>
      </w:numPr>
      <w:suppressAutoHyphens/>
      <w:spacing w:before="120" w:after="120" w:line="240" w:lineRule="auto"/>
      <w:jc w:val="both"/>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0D6F99"/>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Menzionenonrisolta">
    <w:name w:val="Unresolved Mention"/>
    <w:basedOn w:val="Carpredefinitoparagrafo"/>
    <w:uiPriority w:val="99"/>
    <w:semiHidden/>
    <w:unhideWhenUsed/>
    <w:rsid w:val="0011671A"/>
    <w:rPr>
      <w:color w:val="605E5C"/>
      <w:shd w:val="clear" w:color="auto" w:fill="E1DFDD"/>
    </w:rPr>
  </w:style>
  <w:style w:type="character" w:customStyle="1" w:styleId="fontstyle01">
    <w:name w:val="fontstyle01"/>
    <w:rsid w:val="007E28E6"/>
    <w:rPr>
      <w:rFonts w:ascii="Calibri" w:hAnsi="Calibri" w:cs="Calibri" w:hint="default"/>
      <w:b w:val="0"/>
      <w:bCs w:val="0"/>
      <w:i w:val="0"/>
      <w:iCs w:val="0"/>
      <w:color w:val="000000"/>
      <w:sz w:val="20"/>
      <w:szCs w:val="20"/>
    </w:rPr>
  </w:style>
  <w:style w:type="character" w:styleId="Testosegnaposto">
    <w:name w:val="Placeholder Text"/>
    <w:uiPriority w:val="99"/>
    <w:semiHidden/>
    <w:rsid w:val="007E28E6"/>
    <w:rPr>
      <w:color w:val="808080"/>
    </w:rPr>
  </w:style>
  <w:style w:type="character" w:styleId="Enfasigrassetto">
    <w:name w:val="Strong"/>
    <w:basedOn w:val="Carpredefinitoparagrafo"/>
    <w:uiPriority w:val="22"/>
    <w:qFormat/>
    <w:rsid w:val="00C5205A"/>
    <w:rPr>
      <w:b/>
      <w:bCs/>
    </w:rPr>
  </w:style>
  <w:style w:type="paragraph" w:styleId="Nessunaspaziatura">
    <w:name w:val="No Spacing"/>
    <w:aliases w:val="1st par"/>
    <w:basedOn w:val="Normale"/>
    <w:next w:val="Normale"/>
    <w:uiPriority w:val="1"/>
    <w:qFormat/>
    <w:rsid w:val="00DB34EB"/>
    <w:pPr>
      <w:tabs>
        <w:tab w:val="clear" w:pos="7100"/>
      </w:tabs>
      <w:spacing w:before="120" w:line="240" w:lineRule="auto"/>
      <w:contextualSpacing/>
    </w:pPr>
    <w:rPr>
      <w:rFonts w:ascii="Times New Roman" w:eastAsia="Calibri" w:hAnsi="Times New Roman"/>
      <w:sz w:val="24"/>
      <w:szCs w:val="22"/>
      <w:lang w:val="en-AU"/>
    </w:rPr>
  </w:style>
  <w:style w:type="paragraph" w:styleId="Revisione">
    <w:name w:val="Revision"/>
    <w:hidden/>
    <w:uiPriority w:val="99"/>
    <w:semiHidden/>
    <w:rsid w:val="00404630"/>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597179183">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70695">
      <w:bodyDiv w:val="1"/>
      <w:marLeft w:val="0"/>
      <w:marRight w:val="0"/>
      <w:marTop w:val="0"/>
      <w:marBottom w:val="0"/>
      <w:divBdr>
        <w:top w:val="none" w:sz="0" w:space="0" w:color="auto"/>
        <w:left w:val="none" w:sz="0" w:space="0" w:color="auto"/>
        <w:bottom w:val="none" w:sz="0" w:space="0" w:color="auto"/>
        <w:right w:val="none" w:sz="0" w:space="0" w:color="auto"/>
      </w:divBdr>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30960517">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7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yperlink" Target="mailto:david.castro@polito.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4790</Words>
  <Characters>27306</Characters>
  <Application>Microsoft Office Word</Application>
  <DocSecurity>0</DocSecurity>
  <Lines>227</Lines>
  <Paragraphs>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10</cp:revision>
  <cp:lastPrinted>2015-05-12T18:31:00Z</cp:lastPrinted>
  <dcterms:created xsi:type="dcterms:W3CDTF">2025-01-29T10:22:00Z</dcterms:created>
  <dcterms:modified xsi:type="dcterms:W3CDTF">2025-04-16T11:44:00Z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id="Gk1aagtR"/&gt;&lt;style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ies>
</file>